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51D8" w14:textId="77777777" w:rsidR="00BB0C08" w:rsidRDefault="00BB0C08" w:rsidP="003200D4">
      <w:pPr>
        <w:pStyle w:val="NormalText"/>
      </w:pPr>
      <w:r>
        <w:t>S&amp;PL Procedures</w:t>
      </w:r>
    </w:p>
    <w:p w14:paraId="3B1DC47B" w14:textId="57E028BC" w:rsidR="00BB0C08" w:rsidRDefault="00BB0C08" w:rsidP="003200D4">
      <w:pPr>
        <w:pStyle w:val="NormalText"/>
      </w:pPr>
      <w:r>
        <w:t xml:space="preserve">AEM HEDSL </w:t>
      </w:r>
      <w:r w:rsidR="00353826">
        <w:t>SOP</w:t>
      </w:r>
    </w:p>
    <w:p w14:paraId="000763A7" w14:textId="541F043F" w:rsidR="00BB0C08" w:rsidRPr="00C4770B" w:rsidRDefault="00BB0C08" w:rsidP="003200D4">
      <w:pPr>
        <w:pStyle w:val="NormalText"/>
      </w:pPr>
      <w:r>
        <w:t>Document Name: Proc</w:t>
      </w:r>
      <w:r w:rsidR="00CD6327">
        <w:t xml:space="preserve"> </w:t>
      </w:r>
      <w:r>
        <w:t xml:space="preserve">- </w:t>
      </w:r>
      <w:r w:rsidR="00CD6327">
        <w:t>202</w:t>
      </w:r>
      <w:r w:rsidR="00353826">
        <w:t>5</w:t>
      </w:r>
      <w:r w:rsidR="00CD6327">
        <w:t>.</w:t>
      </w:r>
      <w:r w:rsidR="00353826">
        <w:t>8</w:t>
      </w:r>
      <w:r w:rsidR="00CD6327">
        <w:t>.</w:t>
      </w:r>
      <w:r w:rsidR="00353826">
        <w:t>5</w:t>
      </w:r>
      <w:r w:rsidR="00CD6327">
        <w:t xml:space="preserve"> </w:t>
      </w:r>
      <w:r>
        <w:t xml:space="preserve">- HEDSL </w:t>
      </w:r>
      <w:r w:rsidR="00353826">
        <w:t>Review Standard Operating Procedures</w:t>
      </w:r>
    </w:p>
    <w:p w14:paraId="36869D4A" w14:textId="050CE006" w:rsidR="00BB0C08" w:rsidRDefault="00BB0C08" w:rsidP="003200D4">
      <w:pPr>
        <w:pStyle w:val="NormalText"/>
      </w:pPr>
      <w:r>
        <w:t>Date: 202</w:t>
      </w:r>
      <w:r w:rsidR="00353826">
        <w:t>5</w:t>
      </w:r>
      <w:r>
        <w:t>.</w:t>
      </w:r>
      <w:r w:rsidR="00353826">
        <w:t>8</w:t>
      </w:r>
      <w:r>
        <w:t>.</w:t>
      </w:r>
      <w:r w:rsidR="00625091">
        <w:t>5</w:t>
      </w:r>
    </w:p>
    <w:p w14:paraId="654CEC62" w14:textId="42D75B22" w:rsidR="00BB0C08" w:rsidRDefault="00BB0C08" w:rsidP="003200D4">
      <w:pPr>
        <w:pStyle w:val="NormalText"/>
      </w:pPr>
      <w:r>
        <w:t>Date of Expiration: 202</w:t>
      </w:r>
      <w:r w:rsidR="00353826">
        <w:t>6</w:t>
      </w:r>
      <w:r>
        <w:t>.</w:t>
      </w:r>
      <w:r w:rsidR="00353826">
        <w:t>8</w:t>
      </w:r>
      <w:r>
        <w:t>.</w:t>
      </w:r>
      <w:r w:rsidR="00625091">
        <w:t>4</w:t>
      </w:r>
    </w:p>
    <w:p w14:paraId="76BEBC0D" w14:textId="77777777" w:rsidR="00BB0C08" w:rsidRPr="00B23246" w:rsidRDefault="00BB0C08" w:rsidP="003200D4">
      <w:pPr>
        <w:pStyle w:val="NormalText"/>
      </w:pPr>
      <w:r w:rsidRPr="00B23246">
        <w:t>DOCUMENT REVISION HISTORY</w:t>
      </w:r>
    </w:p>
    <w:tbl>
      <w:tblPr>
        <w:tblStyle w:val="GridTable4"/>
        <w:tblW w:w="10497" w:type="dxa"/>
        <w:tblLook w:val="04A0" w:firstRow="1" w:lastRow="0" w:firstColumn="1" w:lastColumn="0" w:noHBand="0" w:noVBand="1"/>
      </w:tblPr>
      <w:tblGrid>
        <w:gridCol w:w="991"/>
        <w:gridCol w:w="1448"/>
        <w:gridCol w:w="4889"/>
        <w:gridCol w:w="3169"/>
      </w:tblGrid>
      <w:tr w:rsidR="00BB0C08" w:rsidRPr="00B23246" w14:paraId="37B0E01F" w14:textId="77777777" w:rsidTr="003200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0E41283A" w14:textId="77777777" w:rsidR="00BB0C08" w:rsidRPr="00B23246" w:rsidRDefault="00BB0C08" w:rsidP="003200D4">
            <w:pPr>
              <w:jc w:val="center"/>
              <w:rPr>
                <w:b w:val="0"/>
              </w:rPr>
            </w:pPr>
            <w:r w:rsidRPr="00B23246">
              <w:rPr>
                <w:b w:val="0"/>
              </w:rPr>
              <w:t>Version</w:t>
            </w:r>
          </w:p>
        </w:tc>
        <w:tc>
          <w:tcPr>
            <w:tcW w:w="1448" w:type="dxa"/>
          </w:tcPr>
          <w:p w14:paraId="74B0E2F4" w14:textId="77777777" w:rsidR="00BB0C08" w:rsidRPr="00B23246" w:rsidRDefault="00BB0C08" w:rsidP="003200D4">
            <w:pPr>
              <w:jc w:val="center"/>
              <w:cnfStyle w:val="100000000000" w:firstRow="1" w:lastRow="0" w:firstColumn="0" w:lastColumn="0" w:oddVBand="0" w:evenVBand="0" w:oddHBand="0" w:evenHBand="0" w:firstRowFirstColumn="0" w:firstRowLastColumn="0" w:lastRowFirstColumn="0" w:lastRowLastColumn="0"/>
              <w:rPr>
                <w:b w:val="0"/>
              </w:rPr>
            </w:pPr>
            <w:r w:rsidRPr="00B23246">
              <w:rPr>
                <w:b w:val="0"/>
              </w:rPr>
              <w:t>Date</w:t>
            </w:r>
          </w:p>
        </w:tc>
        <w:tc>
          <w:tcPr>
            <w:tcW w:w="4889" w:type="dxa"/>
          </w:tcPr>
          <w:p w14:paraId="40FF9916" w14:textId="77777777" w:rsidR="00BB0C08" w:rsidRPr="00B23246" w:rsidRDefault="00BB0C08" w:rsidP="003200D4">
            <w:pPr>
              <w:jc w:val="center"/>
              <w:cnfStyle w:val="100000000000" w:firstRow="1" w:lastRow="0" w:firstColumn="0" w:lastColumn="0" w:oddVBand="0" w:evenVBand="0" w:oddHBand="0" w:evenHBand="0" w:firstRowFirstColumn="0" w:firstRowLastColumn="0" w:lastRowFirstColumn="0" w:lastRowLastColumn="0"/>
              <w:rPr>
                <w:b w:val="0"/>
              </w:rPr>
            </w:pPr>
            <w:r w:rsidRPr="00B23246">
              <w:rPr>
                <w:b w:val="0"/>
              </w:rPr>
              <w:t>Description of Changes</w:t>
            </w:r>
          </w:p>
        </w:tc>
        <w:tc>
          <w:tcPr>
            <w:tcW w:w="3169" w:type="dxa"/>
          </w:tcPr>
          <w:p w14:paraId="28A0B0F1" w14:textId="77777777" w:rsidR="00BB0C08" w:rsidRPr="00B23246" w:rsidRDefault="00BB0C08" w:rsidP="003200D4">
            <w:pPr>
              <w:jc w:val="center"/>
              <w:cnfStyle w:val="100000000000" w:firstRow="1" w:lastRow="0" w:firstColumn="0" w:lastColumn="0" w:oddVBand="0" w:evenVBand="0" w:oddHBand="0" w:evenHBand="0" w:firstRowFirstColumn="0" w:firstRowLastColumn="0" w:lastRowFirstColumn="0" w:lastRowLastColumn="0"/>
              <w:rPr>
                <w:b w:val="0"/>
              </w:rPr>
            </w:pPr>
            <w:r w:rsidRPr="00B23246">
              <w:rPr>
                <w:b w:val="0"/>
              </w:rPr>
              <w:t>Author</w:t>
            </w:r>
          </w:p>
        </w:tc>
      </w:tr>
      <w:tr w:rsidR="00BB0C08" w14:paraId="114B2288"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1792E58C" w14:textId="77777777" w:rsidR="00BB0C08" w:rsidRDefault="00BB0C08" w:rsidP="001C1A25">
            <w:r>
              <w:t>1.0</w:t>
            </w:r>
          </w:p>
        </w:tc>
        <w:tc>
          <w:tcPr>
            <w:tcW w:w="1448" w:type="dxa"/>
          </w:tcPr>
          <w:p w14:paraId="797CEEFE" w14:textId="556B7BEA" w:rsidR="00BB0C08" w:rsidRDefault="00B77E42" w:rsidP="001C1A25">
            <w:pPr>
              <w:cnfStyle w:val="000000100000" w:firstRow="0" w:lastRow="0" w:firstColumn="0" w:lastColumn="0" w:oddVBand="0" w:evenVBand="0" w:oddHBand="1" w:evenHBand="0" w:firstRowFirstColumn="0" w:firstRowLastColumn="0" w:lastRowFirstColumn="0" w:lastRowLastColumn="0"/>
            </w:pPr>
            <w:r>
              <w:t>8.5.2025</w:t>
            </w:r>
          </w:p>
        </w:tc>
        <w:tc>
          <w:tcPr>
            <w:tcW w:w="4889" w:type="dxa"/>
          </w:tcPr>
          <w:p w14:paraId="48E97CE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r>
              <w:t>Initial Document</w:t>
            </w:r>
          </w:p>
        </w:tc>
        <w:tc>
          <w:tcPr>
            <w:tcW w:w="3169" w:type="dxa"/>
          </w:tcPr>
          <w:p w14:paraId="4068D89F" w14:textId="775461F7" w:rsidR="00BB0C08" w:rsidRDefault="00B77E42" w:rsidP="001C1A25">
            <w:pPr>
              <w:cnfStyle w:val="000000100000" w:firstRow="0" w:lastRow="0" w:firstColumn="0" w:lastColumn="0" w:oddVBand="0" w:evenVBand="0" w:oddHBand="1" w:evenHBand="0" w:firstRowFirstColumn="0" w:firstRowLastColumn="0" w:lastRowFirstColumn="0" w:lastRowLastColumn="0"/>
            </w:pPr>
            <w:r>
              <w:t>Jason Malcore</w:t>
            </w:r>
          </w:p>
        </w:tc>
      </w:tr>
      <w:tr w:rsidR="00BB0C08" w14:paraId="1FD6256A" w14:textId="77777777" w:rsidTr="003200D4">
        <w:trPr>
          <w:trHeight w:val="149"/>
        </w:trPr>
        <w:tc>
          <w:tcPr>
            <w:cnfStyle w:val="001000000000" w:firstRow="0" w:lastRow="0" w:firstColumn="1" w:lastColumn="0" w:oddVBand="0" w:evenVBand="0" w:oddHBand="0" w:evenHBand="0" w:firstRowFirstColumn="0" w:firstRowLastColumn="0" w:lastRowFirstColumn="0" w:lastRowLastColumn="0"/>
            <w:tcW w:w="991" w:type="dxa"/>
          </w:tcPr>
          <w:p w14:paraId="0A787BEC" w14:textId="177D9774" w:rsidR="00BB0C08" w:rsidRDefault="00BB0C08" w:rsidP="001C1A25"/>
        </w:tc>
        <w:tc>
          <w:tcPr>
            <w:tcW w:w="1448" w:type="dxa"/>
          </w:tcPr>
          <w:p w14:paraId="4B36CF45" w14:textId="4827EFA4"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10BA6F4C" w14:textId="3F2150C0"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5B4C794B" w14:textId="7B3F395D"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59A40DA3"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75660DF3" w14:textId="77777777" w:rsidR="00BB0C08" w:rsidRDefault="00BB0C08" w:rsidP="001C1A25"/>
        </w:tc>
        <w:tc>
          <w:tcPr>
            <w:tcW w:w="1448" w:type="dxa"/>
          </w:tcPr>
          <w:p w14:paraId="67321730"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07B08CA5"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1B10414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0CD252DD"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05AC1ACF" w14:textId="77777777" w:rsidR="00BB0C08" w:rsidRDefault="00BB0C08" w:rsidP="001C1A25"/>
        </w:tc>
        <w:tc>
          <w:tcPr>
            <w:tcW w:w="1448" w:type="dxa"/>
          </w:tcPr>
          <w:p w14:paraId="368D1C9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E8E98D5"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F8A044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A4DA504"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7BC19790" w14:textId="77777777" w:rsidR="00BB0C08" w:rsidRDefault="00BB0C08" w:rsidP="001C1A25"/>
        </w:tc>
        <w:tc>
          <w:tcPr>
            <w:tcW w:w="1448" w:type="dxa"/>
          </w:tcPr>
          <w:p w14:paraId="4CE060C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6ECA640"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4FB2D2C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3CCED59D"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2FC05A2E" w14:textId="77777777" w:rsidR="00BB0C08" w:rsidRDefault="00BB0C08" w:rsidP="001C1A25"/>
        </w:tc>
        <w:tc>
          <w:tcPr>
            <w:tcW w:w="1448" w:type="dxa"/>
          </w:tcPr>
          <w:p w14:paraId="01505462"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01C1D386"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03DC7DB2"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30569DF"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5E5BF39" w14:textId="77777777" w:rsidR="00BB0C08" w:rsidRDefault="00BB0C08" w:rsidP="001C1A25"/>
        </w:tc>
        <w:tc>
          <w:tcPr>
            <w:tcW w:w="1448" w:type="dxa"/>
          </w:tcPr>
          <w:p w14:paraId="39E5D09D"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4080E7E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C4CA29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0F800116" w14:textId="77777777" w:rsidTr="003200D4">
        <w:trPr>
          <w:trHeight w:val="275"/>
        </w:trPr>
        <w:tc>
          <w:tcPr>
            <w:cnfStyle w:val="001000000000" w:firstRow="0" w:lastRow="0" w:firstColumn="1" w:lastColumn="0" w:oddVBand="0" w:evenVBand="0" w:oddHBand="0" w:evenHBand="0" w:firstRowFirstColumn="0" w:firstRowLastColumn="0" w:lastRowFirstColumn="0" w:lastRowLastColumn="0"/>
            <w:tcW w:w="991" w:type="dxa"/>
          </w:tcPr>
          <w:p w14:paraId="51BB57A4" w14:textId="77777777" w:rsidR="00BB0C08" w:rsidRDefault="00BB0C08" w:rsidP="001C1A25"/>
        </w:tc>
        <w:tc>
          <w:tcPr>
            <w:tcW w:w="1448" w:type="dxa"/>
          </w:tcPr>
          <w:p w14:paraId="1B1E214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DF0179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2EC67B96"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61B9F95"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3CB6696E" w14:textId="77777777" w:rsidR="00BB0C08" w:rsidRDefault="00BB0C08" w:rsidP="001C1A25"/>
        </w:tc>
        <w:tc>
          <w:tcPr>
            <w:tcW w:w="1448" w:type="dxa"/>
          </w:tcPr>
          <w:p w14:paraId="3CF782E5"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7E654E2C"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0F74FD0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29282C6C"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3CC5C6C9" w14:textId="77777777" w:rsidR="00BB0C08" w:rsidRDefault="00BB0C08" w:rsidP="001C1A25"/>
        </w:tc>
        <w:tc>
          <w:tcPr>
            <w:tcW w:w="1448" w:type="dxa"/>
          </w:tcPr>
          <w:p w14:paraId="0A67D494"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4C52F726"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25E04E4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521D8E1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053D0647" w14:textId="77777777" w:rsidR="00BB0C08" w:rsidRDefault="00BB0C08" w:rsidP="001C1A25"/>
        </w:tc>
        <w:tc>
          <w:tcPr>
            <w:tcW w:w="1448" w:type="dxa"/>
          </w:tcPr>
          <w:p w14:paraId="1126798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0C102E0C"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3C3303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76BADE8F"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52E1CA19" w14:textId="77777777" w:rsidR="00BB0C08" w:rsidRDefault="00BB0C08" w:rsidP="001C1A25"/>
        </w:tc>
        <w:tc>
          <w:tcPr>
            <w:tcW w:w="1448" w:type="dxa"/>
          </w:tcPr>
          <w:p w14:paraId="3B12F99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1FD43B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4C1C5A2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23C84495" w14:textId="77777777" w:rsidTr="003200D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1" w:type="dxa"/>
          </w:tcPr>
          <w:p w14:paraId="79F8F8B9" w14:textId="77777777" w:rsidR="00BB0C08" w:rsidRDefault="00BB0C08" w:rsidP="001C1A25"/>
        </w:tc>
        <w:tc>
          <w:tcPr>
            <w:tcW w:w="1448" w:type="dxa"/>
          </w:tcPr>
          <w:p w14:paraId="5F6ADD3F"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21B6A676"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771CB7E8"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707067CE"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54FBC100" w14:textId="77777777" w:rsidR="00BB0C08" w:rsidRDefault="00BB0C08" w:rsidP="001C1A25"/>
        </w:tc>
        <w:tc>
          <w:tcPr>
            <w:tcW w:w="1448" w:type="dxa"/>
          </w:tcPr>
          <w:p w14:paraId="5927F1A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C6F10B3"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7BE08C39"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0B14A12A"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234B48D7" w14:textId="77777777" w:rsidR="00BB0C08" w:rsidRDefault="00BB0C08" w:rsidP="001C1A25"/>
        </w:tc>
        <w:tc>
          <w:tcPr>
            <w:tcW w:w="1448" w:type="dxa"/>
          </w:tcPr>
          <w:p w14:paraId="1A363574"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2CAD525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103CE47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686589BF"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31778121" w14:textId="77777777" w:rsidR="00BB0C08" w:rsidRDefault="00BB0C08" w:rsidP="001C1A25"/>
        </w:tc>
        <w:tc>
          <w:tcPr>
            <w:tcW w:w="1448" w:type="dxa"/>
          </w:tcPr>
          <w:p w14:paraId="50A1A3A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6410479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5F9814DF"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56D2E1B4"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1A626351" w14:textId="77777777" w:rsidR="00BB0C08" w:rsidRDefault="00BB0C08" w:rsidP="001C1A25"/>
        </w:tc>
        <w:tc>
          <w:tcPr>
            <w:tcW w:w="1448" w:type="dxa"/>
          </w:tcPr>
          <w:p w14:paraId="4B88E8BA"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E54FA4A"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7D12D71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66D608D7"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73298789" w14:textId="77777777" w:rsidR="00BB0C08" w:rsidRDefault="00BB0C08" w:rsidP="001C1A25"/>
        </w:tc>
        <w:tc>
          <w:tcPr>
            <w:tcW w:w="1448" w:type="dxa"/>
          </w:tcPr>
          <w:p w14:paraId="1B41881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3C0F5F0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34BD8CF9"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6F5C7C2E" w14:textId="77777777" w:rsidTr="003200D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1" w:type="dxa"/>
          </w:tcPr>
          <w:p w14:paraId="3C1E1EE2" w14:textId="77777777" w:rsidR="00BB0C08" w:rsidRDefault="00BB0C08" w:rsidP="001C1A25"/>
        </w:tc>
        <w:tc>
          <w:tcPr>
            <w:tcW w:w="1448" w:type="dxa"/>
          </w:tcPr>
          <w:p w14:paraId="6A93AAD3"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3E0D61F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274A14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7BA4266B"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4A14EAEB" w14:textId="77777777" w:rsidR="00BB0C08" w:rsidRDefault="00BB0C08" w:rsidP="001C1A25"/>
        </w:tc>
        <w:tc>
          <w:tcPr>
            <w:tcW w:w="1448" w:type="dxa"/>
          </w:tcPr>
          <w:p w14:paraId="1F851D1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0BA3F3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41819D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53EA36E7"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362C47D" w14:textId="77777777" w:rsidR="00BB0C08" w:rsidRDefault="00BB0C08" w:rsidP="001C1A25"/>
        </w:tc>
        <w:tc>
          <w:tcPr>
            <w:tcW w:w="1448" w:type="dxa"/>
          </w:tcPr>
          <w:p w14:paraId="5F18E5B8"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931BCC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423FE93"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079470DA"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5B490C2A" w14:textId="77777777" w:rsidR="00BB0C08" w:rsidRDefault="00BB0C08" w:rsidP="001C1A25"/>
        </w:tc>
        <w:tc>
          <w:tcPr>
            <w:tcW w:w="1448" w:type="dxa"/>
          </w:tcPr>
          <w:p w14:paraId="1C6495B4"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9CFEA30"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8581E70"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2AA8E78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4BA1D94" w14:textId="77777777" w:rsidR="00BB0C08" w:rsidRDefault="00BB0C08" w:rsidP="001C1A25"/>
        </w:tc>
        <w:tc>
          <w:tcPr>
            <w:tcW w:w="1448" w:type="dxa"/>
          </w:tcPr>
          <w:p w14:paraId="530DB46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4FCF5E2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15C3D4F"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23ED9145" w14:textId="77777777" w:rsidTr="003200D4">
        <w:trPr>
          <w:trHeight w:val="275"/>
        </w:trPr>
        <w:tc>
          <w:tcPr>
            <w:cnfStyle w:val="001000000000" w:firstRow="0" w:lastRow="0" w:firstColumn="1" w:lastColumn="0" w:oddVBand="0" w:evenVBand="0" w:oddHBand="0" w:evenHBand="0" w:firstRowFirstColumn="0" w:firstRowLastColumn="0" w:lastRowFirstColumn="0" w:lastRowLastColumn="0"/>
            <w:tcW w:w="991" w:type="dxa"/>
          </w:tcPr>
          <w:p w14:paraId="2CC7DC9F" w14:textId="77777777" w:rsidR="00BB0C08" w:rsidRDefault="00BB0C08" w:rsidP="001C1A25"/>
        </w:tc>
        <w:tc>
          <w:tcPr>
            <w:tcW w:w="1448" w:type="dxa"/>
          </w:tcPr>
          <w:p w14:paraId="0A6795C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42E9E13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2171C05E"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031AF07B"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BEAC39A" w14:textId="77777777" w:rsidR="00BB0C08" w:rsidRDefault="00BB0C08" w:rsidP="001C1A25"/>
        </w:tc>
        <w:tc>
          <w:tcPr>
            <w:tcW w:w="1448" w:type="dxa"/>
          </w:tcPr>
          <w:p w14:paraId="285EEC59"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5C9DE07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FB9B9D5"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51AC9D51"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3B8858D4" w14:textId="77777777" w:rsidR="00BB0C08" w:rsidRDefault="00BB0C08" w:rsidP="001C1A25"/>
        </w:tc>
        <w:tc>
          <w:tcPr>
            <w:tcW w:w="1448" w:type="dxa"/>
          </w:tcPr>
          <w:p w14:paraId="78C4950E"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28973B5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4CCC38D2"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6E45008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661BFBC6" w14:textId="77777777" w:rsidR="00BB0C08" w:rsidRDefault="00BB0C08" w:rsidP="001C1A25"/>
        </w:tc>
        <w:tc>
          <w:tcPr>
            <w:tcW w:w="1448" w:type="dxa"/>
          </w:tcPr>
          <w:p w14:paraId="5A96C27B"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64AFC392"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45EE9E8A"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33D691BA"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68331B0E" w14:textId="77777777" w:rsidR="00BB0C08" w:rsidRDefault="00BB0C08" w:rsidP="001C1A25"/>
        </w:tc>
        <w:tc>
          <w:tcPr>
            <w:tcW w:w="1448" w:type="dxa"/>
          </w:tcPr>
          <w:p w14:paraId="0BA1CF6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599EDB7D"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3E573D47"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7A1C4615"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49A16A9B" w14:textId="77777777" w:rsidR="00BB0C08" w:rsidRDefault="00BB0C08" w:rsidP="001C1A25"/>
        </w:tc>
        <w:tc>
          <w:tcPr>
            <w:tcW w:w="1448" w:type="dxa"/>
          </w:tcPr>
          <w:p w14:paraId="50839493"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62E7A43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6B92CF01"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6F009023" w14:textId="77777777" w:rsidTr="003200D4">
        <w:trPr>
          <w:trHeight w:val="275"/>
        </w:trPr>
        <w:tc>
          <w:tcPr>
            <w:cnfStyle w:val="001000000000" w:firstRow="0" w:lastRow="0" w:firstColumn="1" w:lastColumn="0" w:oddVBand="0" w:evenVBand="0" w:oddHBand="0" w:evenHBand="0" w:firstRowFirstColumn="0" w:firstRowLastColumn="0" w:lastRowFirstColumn="0" w:lastRowLastColumn="0"/>
            <w:tcW w:w="991" w:type="dxa"/>
          </w:tcPr>
          <w:p w14:paraId="29B9830D" w14:textId="77777777" w:rsidR="00BB0C08" w:rsidRDefault="00BB0C08" w:rsidP="001C1A25"/>
        </w:tc>
        <w:tc>
          <w:tcPr>
            <w:tcW w:w="1448" w:type="dxa"/>
          </w:tcPr>
          <w:p w14:paraId="4CE54118"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11FF187A"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025AC33C"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BB0C08" w14:paraId="10F7253D"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03A68987" w14:textId="77777777" w:rsidR="00BB0C08" w:rsidRDefault="00BB0C08" w:rsidP="001C1A25"/>
        </w:tc>
        <w:tc>
          <w:tcPr>
            <w:tcW w:w="1448" w:type="dxa"/>
          </w:tcPr>
          <w:p w14:paraId="26F6BF5C"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6317F28E"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28C10C07" w14:textId="77777777" w:rsidR="00BB0C08" w:rsidRDefault="00BB0C08" w:rsidP="001C1A25">
            <w:pPr>
              <w:cnfStyle w:val="000000100000" w:firstRow="0" w:lastRow="0" w:firstColumn="0" w:lastColumn="0" w:oddVBand="0" w:evenVBand="0" w:oddHBand="1" w:evenHBand="0" w:firstRowFirstColumn="0" w:firstRowLastColumn="0" w:lastRowFirstColumn="0" w:lastRowLastColumn="0"/>
            </w:pPr>
          </w:p>
        </w:tc>
      </w:tr>
      <w:tr w:rsidR="00BB0C08" w14:paraId="243CB721" w14:textId="77777777" w:rsidTr="003200D4">
        <w:trPr>
          <w:trHeight w:val="284"/>
        </w:trPr>
        <w:tc>
          <w:tcPr>
            <w:cnfStyle w:val="001000000000" w:firstRow="0" w:lastRow="0" w:firstColumn="1" w:lastColumn="0" w:oddVBand="0" w:evenVBand="0" w:oddHBand="0" w:evenHBand="0" w:firstRowFirstColumn="0" w:firstRowLastColumn="0" w:lastRowFirstColumn="0" w:lastRowLastColumn="0"/>
            <w:tcW w:w="991" w:type="dxa"/>
          </w:tcPr>
          <w:p w14:paraId="745C4D94" w14:textId="77777777" w:rsidR="00BB0C08" w:rsidRDefault="00BB0C08" w:rsidP="001C1A25"/>
        </w:tc>
        <w:tc>
          <w:tcPr>
            <w:tcW w:w="1448" w:type="dxa"/>
          </w:tcPr>
          <w:p w14:paraId="14191E5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4889" w:type="dxa"/>
          </w:tcPr>
          <w:p w14:paraId="22AE38A4"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c>
          <w:tcPr>
            <w:tcW w:w="3169" w:type="dxa"/>
          </w:tcPr>
          <w:p w14:paraId="10BFAC2B" w14:textId="77777777" w:rsidR="00BB0C08" w:rsidRDefault="00BB0C08" w:rsidP="001C1A25">
            <w:pPr>
              <w:cnfStyle w:val="000000000000" w:firstRow="0" w:lastRow="0" w:firstColumn="0" w:lastColumn="0" w:oddVBand="0" w:evenVBand="0" w:oddHBand="0" w:evenHBand="0" w:firstRowFirstColumn="0" w:firstRowLastColumn="0" w:lastRowFirstColumn="0" w:lastRowLastColumn="0"/>
            </w:pPr>
          </w:p>
        </w:tc>
      </w:tr>
      <w:tr w:rsidR="003200D4" w14:paraId="2174F1EE" w14:textId="77777777" w:rsidTr="003200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91" w:type="dxa"/>
          </w:tcPr>
          <w:p w14:paraId="38125DAF" w14:textId="77777777" w:rsidR="003200D4" w:rsidRDefault="003200D4" w:rsidP="001C1A25"/>
        </w:tc>
        <w:tc>
          <w:tcPr>
            <w:tcW w:w="1448" w:type="dxa"/>
          </w:tcPr>
          <w:p w14:paraId="33A0CDBA" w14:textId="77777777" w:rsidR="003200D4" w:rsidRDefault="003200D4" w:rsidP="001C1A25">
            <w:pPr>
              <w:cnfStyle w:val="000000100000" w:firstRow="0" w:lastRow="0" w:firstColumn="0" w:lastColumn="0" w:oddVBand="0" w:evenVBand="0" w:oddHBand="1" w:evenHBand="0" w:firstRowFirstColumn="0" w:firstRowLastColumn="0" w:lastRowFirstColumn="0" w:lastRowLastColumn="0"/>
            </w:pPr>
          </w:p>
        </w:tc>
        <w:tc>
          <w:tcPr>
            <w:tcW w:w="4889" w:type="dxa"/>
          </w:tcPr>
          <w:p w14:paraId="3B013987" w14:textId="77777777" w:rsidR="003200D4" w:rsidRDefault="003200D4" w:rsidP="001C1A25">
            <w:pPr>
              <w:cnfStyle w:val="000000100000" w:firstRow="0" w:lastRow="0" w:firstColumn="0" w:lastColumn="0" w:oddVBand="0" w:evenVBand="0" w:oddHBand="1" w:evenHBand="0" w:firstRowFirstColumn="0" w:firstRowLastColumn="0" w:lastRowFirstColumn="0" w:lastRowLastColumn="0"/>
            </w:pPr>
          </w:p>
        </w:tc>
        <w:tc>
          <w:tcPr>
            <w:tcW w:w="3169" w:type="dxa"/>
          </w:tcPr>
          <w:p w14:paraId="3908CB88" w14:textId="77777777" w:rsidR="003200D4" w:rsidRDefault="003200D4" w:rsidP="001C1A25">
            <w:pPr>
              <w:cnfStyle w:val="000000100000" w:firstRow="0" w:lastRow="0" w:firstColumn="0" w:lastColumn="0" w:oddVBand="0" w:evenVBand="0" w:oddHBand="1" w:evenHBand="0" w:firstRowFirstColumn="0" w:firstRowLastColumn="0" w:lastRowFirstColumn="0" w:lastRowLastColumn="0"/>
            </w:pPr>
          </w:p>
        </w:tc>
      </w:tr>
    </w:tbl>
    <w:p w14:paraId="16D11432" w14:textId="77777777" w:rsidR="003200D4" w:rsidRDefault="003200D4">
      <w:r>
        <w:rPr>
          <w:b/>
          <w:bCs/>
        </w:rPr>
        <w:br w:type="page"/>
      </w:r>
    </w:p>
    <w:bookmarkStart w:id="0" w:name="_Toc206706869"/>
    <w:p w14:paraId="6ABE7BE4" w14:textId="1FCEF054" w:rsidR="00043CC7" w:rsidRDefault="00026052" w:rsidP="003200D4">
      <w:pPr>
        <w:pStyle w:val="Heading1"/>
        <w:spacing w:before="0" w:line="240" w:lineRule="auto"/>
      </w:pPr>
      <w:r>
        <w:rPr>
          <w:noProof/>
        </w:rPr>
        <w:lastRenderedPageBreak/>
        <mc:AlternateContent>
          <mc:Choice Requires="wps">
            <w:drawing>
              <wp:anchor distT="4294967295" distB="4294967295" distL="114300" distR="114300" simplePos="0" relativeHeight="251659264" behindDoc="1" locked="0" layoutInCell="1" allowOverlap="0" wp14:anchorId="7A155E1E" wp14:editId="0148B85D">
                <wp:simplePos x="0" y="0"/>
                <wp:positionH relativeFrom="margin">
                  <wp:align>left</wp:align>
                </wp:positionH>
                <wp:positionV relativeFrom="line">
                  <wp:posOffset>42544</wp:posOffset>
                </wp:positionV>
                <wp:extent cx="6629400" cy="0"/>
                <wp:effectExtent l="0" t="0" r="0" b="0"/>
                <wp:wrapThrough wrapText="bothSides">
                  <wp:wrapPolygon edited="0">
                    <wp:start x="0" y="0"/>
                    <wp:lineTo x="0" y="21600"/>
                    <wp:lineTo x="21600" y="21600"/>
                    <wp:lineTo x="2160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cap="flat" cmpd="sng" algn="ctr">
                          <a:solidFill>
                            <a:srgbClr val="F93822"/>
                          </a:solidFill>
                          <a:prstDash val="solid"/>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3E418F" id="Straight Connector 3"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line;mso-width-percent:0;mso-height-percent:0;mso-width-relative:page;mso-height-relative:page" from="0,3.35pt" to="5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" o:allowoverlap="f" strokecolor="#f93822" strokeweight="1pt">
                <v:stroke joinstyle="miter"/>
                <w10:wrap type="through" anchorx="margin" anchory="line"/>
              </v:line>
            </w:pict>
          </mc:Fallback>
        </mc:AlternateContent>
      </w:r>
      <w:r w:rsidR="00043CC7">
        <w:t>Executive Summary</w:t>
      </w:r>
      <w:bookmarkEnd w:id="0"/>
    </w:p>
    <w:p w14:paraId="589766CE" w14:textId="484CEC84" w:rsidR="00043CC7" w:rsidRDefault="00043CC7" w:rsidP="00043CC7">
      <w:pPr>
        <w:pStyle w:val="NormalText"/>
        <w:ind w:left="1080"/>
        <w:rPr>
          <w:b/>
          <w:bCs/>
          <w:u w:val="single"/>
        </w:rPr>
      </w:pPr>
    </w:p>
    <w:p w14:paraId="5E77CD02" w14:textId="1EC367CD" w:rsidR="00B065BC" w:rsidRPr="00B065BC" w:rsidRDefault="00B065BC" w:rsidP="00B065BC">
      <w:pPr>
        <w:spacing w:line="257" w:lineRule="auto"/>
        <w:rPr>
          <w:rFonts w:ascii="Arial" w:eastAsiaTheme="minorEastAsia" w:hAnsi="Arial" w:cs="Arial"/>
        </w:rPr>
      </w:pPr>
      <w:r w:rsidRPr="00B065BC">
        <w:rPr>
          <w:rFonts w:ascii="Arial" w:eastAsiaTheme="minorEastAsia" w:hAnsi="Arial" w:cs="Arial"/>
        </w:rPr>
        <w:t xml:space="preserve">The Association of Equipment Manufacturers (AEM) is the North American-based international trade group representing off-road equipment manufacturers, and their </w:t>
      </w:r>
      <w:r>
        <w:rPr>
          <w:rFonts w:ascii="Arial" w:eastAsiaTheme="minorEastAsia" w:hAnsi="Arial" w:cs="Arial"/>
        </w:rPr>
        <w:t>supply chains</w:t>
      </w:r>
      <w:r w:rsidRPr="00B065BC">
        <w:rPr>
          <w:rFonts w:ascii="Arial" w:eastAsiaTheme="minorEastAsia" w:hAnsi="Arial" w:cs="Arial"/>
        </w:rPr>
        <w:t>, with more than 1,000 member companies and over 200 product lines across five diverse industry sectors. Our members develop and produce a wide range of products, technologies, components, and systems that ensure non-road equipment remains safe and efficient, while operating in some of the most demanding and severe environments on earth with a product life cycle measured in decades.</w:t>
      </w:r>
    </w:p>
    <w:p w14:paraId="4FD6B30B" w14:textId="62E32B83" w:rsidR="00744A97" w:rsidRDefault="00FE66EF" w:rsidP="00B065BC">
      <w:pPr>
        <w:pStyle w:val="NormalText"/>
      </w:pPr>
      <w:r w:rsidRPr="00744A97">
        <w:t>The following document details the process</w:t>
      </w:r>
      <w:r w:rsidR="004072FD">
        <w:t>es</w:t>
      </w:r>
      <w:r w:rsidRPr="00744A97">
        <w:t xml:space="preserve">, procedures, </w:t>
      </w:r>
      <w:r w:rsidR="00BE60F3">
        <w:t xml:space="preserve">and </w:t>
      </w:r>
      <w:r w:rsidRPr="00744A97">
        <w:t>rules</w:t>
      </w:r>
      <w:r w:rsidR="00BE60F3">
        <w:t xml:space="preserve"> for administering the</w:t>
      </w:r>
      <w:r w:rsidRPr="00744A97">
        <w:t xml:space="preserve"> AEM Heavy Equipment Declarable Substance List (HEDSL). </w:t>
      </w:r>
      <w:proofErr w:type="gramStart"/>
      <w:r w:rsidRPr="00744A97">
        <w:t>The HEDSL</w:t>
      </w:r>
      <w:proofErr w:type="gramEnd"/>
      <w:r w:rsidRPr="00744A97">
        <w:t xml:space="preserve"> provides the non-road equipment</w:t>
      </w:r>
      <w:r w:rsidR="004072FD">
        <w:t xml:space="preserve"> </w:t>
      </w:r>
      <w:r w:rsidRPr="00744A97">
        <w:t>sector</w:t>
      </w:r>
      <w:r w:rsidR="004072FD">
        <w:t xml:space="preserve">, </w:t>
      </w:r>
      <w:r w:rsidR="00B065BC">
        <w:t>which encompass</w:t>
      </w:r>
      <w:r w:rsidR="00BD0BAF">
        <w:t>es</w:t>
      </w:r>
      <w:r w:rsidR="00B065BC">
        <w:t xml:space="preserve"> all products which are designed and marketed for use in the construction, agriculture, utility, mining, and forestry sectors,</w:t>
      </w:r>
      <w:r w:rsidRPr="00744A97">
        <w:t xml:space="preserve"> a definitive list of substances that are</w:t>
      </w:r>
      <w:r w:rsidR="00744A97" w:rsidRPr="00744A97">
        <w:t xml:space="preserve"> either</w:t>
      </w:r>
      <w:r w:rsidRPr="00744A97">
        <w:t xml:space="preserve"> regulated, under review, or demonstrate potential risks to human health and/or the environment. Having a unified list for the entire non-road </w:t>
      </w:r>
      <w:r w:rsidR="00B065BC">
        <w:t xml:space="preserve">equipment </w:t>
      </w:r>
      <w:r w:rsidRPr="00744A97">
        <w:t xml:space="preserve">sector to follow will reduce duplicative reporting requirements, streamline supply chain communications, prioritize substances </w:t>
      </w:r>
      <w:r w:rsidR="00744A97" w:rsidRPr="00744A97">
        <w:t xml:space="preserve">of concern, and mitigate risk across all industry.  </w:t>
      </w:r>
    </w:p>
    <w:p w14:paraId="0C494184" w14:textId="77777777" w:rsidR="00B065BC" w:rsidRPr="00744A97" w:rsidRDefault="00B065BC" w:rsidP="00B065BC">
      <w:pPr>
        <w:pStyle w:val="NormalText"/>
      </w:pPr>
    </w:p>
    <w:p w14:paraId="1510B04E" w14:textId="07E5D6A4" w:rsidR="00744A97" w:rsidRPr="00744A97" w:rsidRDefault="00744A97" w:rsidP="003200D4">
      <w:pPr>
        <w:rPr>
          <w:rFonts w:ascii="Arial" w:hAnsi="Arial" w:cs="Arial"/>
        </w:rPr>
      </w:pPr>
      <w:r w:rsidRPr="00744A97">
        <w:rPr>
          <w:rFonts w:ascii="Arial" w:hAnsi="Arial" w:cs="Arial"/>
        </w:rPr>
        <w:t>This document contains instructions on administering the essential functions</w:t>
      </w:r>
      <w:r w:rsidR="00037D92">
        <w:rPr>
          <w:rFonts w:ascii="Arial" w:hAnsi="Arial" w:cs="Arial"/>
        </w:rPr>
        <w:t xml:space="preserve"> of the committee and outlining the process for making final determinations which are</w:t>
      </w:r>
      <w:r w:rsidRPr="00744A97">
        <w:rPr>
          <w:rFonts w:ascii="Arial" w:hAnsi="Arial" w:cs="Arial"/>
        </w:rPr>
        <w:t xml:space="preserve"> central to managing the non-road sectors supply chain communication efforts. These </w:t>
      </w:r>
      <w:r w:rsidR="00F52267" w:rsidRPr="00744A97">
        <w:rPr>
          <w:rFonts w:ascii="Arial" w:hAnsi="Arial" w:cs="Arial"/>
        </w:rPr>
        <w:t>include.</w:t>
      </w:r>
    </w:p>
    <w:p w14:paraId="6F5DDA45" w14:textId="77777777" w:rsidR="00744A97" w:rsidRPr="00744A97" w:rsidRDefault="00744A97" w:rsidP="00744A97">
      <w:pPr>
        <w:pStyle w:val="ListParagraph"/>
        <w:numPr>
          <w:ilvl w:val="0"/>
          <w:numId w:val="5"/>
        </w:numPr>
        <w:rPr>
          <w:rFonts w:eastAsiaTheme="majorEastAsia"/>
          <w:color w:val="2F5496" w:themeColor="accent1" w:themeShade="BF"/>
          <w:sz w:val="32"/>
          <w:szCs w:val="32"/>
        </w:rPr>
      </w:pPr>
      <w:r w:rsidRPr="00744A97">
        <w:t>Declaration Criteria</w:t>
      </w:r>
    </w:p>
    <w:p w14:paraId="24B2D54B" w14:textId="77777777" w:rsidR="00744A97" w:rsidRPr="00744A97" w:rsidRDefault="00744A97" w:rsidP="00744A97">
      <w:pPr>
        <w:pStyle w:val="ListParagraph"/>
        <w:numPr>
          <w:ilvl w:val="0"/>
          <w:numId w:val="5"/>
        </w:numPr>
        <w:rPr>
          <w:rFonts w:eastAsiaTheme="majorEastAsia"/>
          <w:color w:val="2F5496" w:themeColor="accent1" w:themeShade="BF"/>
          <w:sz w:val="32"/>
          <w:szCs w:val="32"/>
        </w:rPr>
      </w:pPr>
      <w:r w:rsidRPr="00744A97">
        <w:t>HEDSL oversight committee</w:t>
      </w:r>
    </w:p>
    <w:p w14:paraId="408FDD5F" w14:textId="77777777" w:rsidR="00744A97" w:rsidRPr="00744A97" w:rsidRDefault="00744A97" w:rsidP="00744A97">
      <w:pPr>
        <w:pStyle w:val="ListParagraph"/>
        <w:numPr>
          <w:ilvl w:val="0"/>
          <w:numId w:val="5"/>
        </w:numPr>
        <w:rPr>
          <w:rFonts w:eastAsiaTheme="majorEastAsia"/>
          <w:color w:val="2F5496" w:themeColor="accent1" w:themeShade="BF"/>
          <w:sz w:val="32"/>
          <w:szCs w:val="32"/>
        </w:rPr>
      </w:pPr>
      <w:r w:rsidRPr="00744A97">
        <w:t>HEDSL process determinations</w:t>
      </w:r>
    </w:p>
    <w:p w14:paraId="7D38F56B" w14:textId="77777777" w:rsidR="00744A97" w:rsidRPr="00744A97" w:rsidRDefault="00744A97" w:rsidP="00744A97">
      <w:pPr>
        <w:pStyle w:val="ListParagraph"/>
        <w:numPr>
          <w:ilvl w:val="0"/>
          <w:numId w:val="5"/>
        </w:numPr>
        <w:rPr>
          <w:rFonts w:asciiTheme="majorHAnsi" w:eastAsiaTheme="majorEastAsia" w:hAnsiTheme="majorHAnsi" w:cstheme="majorBidi"/>
          <w:color w:val="2F5496" w:themeColor="accent1" w:themeShade="BF"/>
          <w:sz w:val="32"/>
          <w:szCs w:val="32"/>
        </w:rPr>
      </w:pPr>
      <w:r>
        <w:t>HEDSL format</w:t>
      </w:r>
    </w:p>
    <w:p w14:paraId="005FFD30" w14:textId="77777777" w:rsidR="00744A97" w:rsidRPr="00744A97" w:rsidRDefault="00744A97" w:rsidP="00744A97">
      <w:pPr>
        <w:pStyle w:val="ListParagraph"/>
        <w:numPr>
          <w:ilvl w:val="0"/>
          <w:numId w:val="5"/>
        </w:numPr>
        <w:rPr>
          <w:rFonts w:asciiTheme="majorHAnsi" w:eastAsiaTheme="majorEastAsia" w:hAnsiTheme="majorHAnsi" w:cstheme="majorBidi"/>
          <w:color w:val="2F5496" w:themeColor="accent1" w:themeShade="BF"/>
          <w:sz w:val="32"/>
          <w:szCs w:val="32"/>
        </w:rPr>
      </w:pPr>
      <w:r>
        <w:t>Rules of Declaration</w:t>
      </w:r>
    </w:p>
    <w:p w14:paraId="35D7F374" w14:textId="70836FC8" w:rsidR="00744A97" w:rsidRPr="00744A97" w:rsidRDefault="00744A97" w:rsidP="00744A97">
      <w:pPr>
        <w:pStyle w:val="ListParagraph"/>
        <w:numPr>
          <w:ilvl w:val="0"/>
          <w:numId w:val="5"/>
        </w:numPr>
        <w:rPr>
          <w:rFonts w:asciiTheme="majorHAnsi" w:eastAsiaTheme="majorEastAsia" w:hAnsiTheme="majorHAnsi" w:cstheme="majorBidi"/>
          <w:color w:val="2F5496" w:themeColor="accent1" w:themeShade="BF"/>
          <w:sz w:val="32"/>
          <w:szCs w:val="32"/>
        </w:rPr>
      </w:pPr>
      <w:r>
        <w:t>Definitions</w:t>
      </w:r>
    </w:p>
    <w:p w14:paraId="2212E327" w14:textId="48D960BC" w:rsidR="003200D4" w:rsidRPr="00744A97" w:rsidRDefault="00744A97" w:rsidP="00744A97">
      <w:pPr>
        <w:rPr>
          <w:rFonts w:asciiTheme="majorHAnsi" w:eastAsiaTheme="majorEastAsia" w:hAnsiTheme="majorHAnsi" w:cstheme="majorBidi"/>
          <w:color w:val="2F5496" w:themeColor="accent1" w:themeShade="BF"/>
          <w:sz w:val="32"/>
          <w:szCs w:val="32"/>
        </w:rPr>
      </w:pPr>
      <w:r w:rsidRPr="00744A97">
        <w:tab/>
      </w:r>
      <w:r w:rsidR="003200D4">
        <w:br w:type="page"/>
      </w:r>
    </w:p>
    <w:sdt>
      <w:sdtPr>
        <w:rPr>
          <w:rFonts w:asciiTheme="minorHAnsi" w:eastAsiaTheme="minorHAnsi" w:hAnsiTheme="minorHAnsi" w:cstheme="minorBidi"/>
          <w:color w:val="auto"/>
          <w:sz w:val="22"/>
          <w:szCs w:val="22"/>
        </w:rPr>
        <w:id w:val="1570225542"/>
        <w:docPartObj>
          <w:docPartGallery w:val="Table of Contents"/>
          <w:docPartUnique/>
        </w:docPartObj>
      </w:sdtPr>
      <w:sdtEndPr>
        <w:rPr>
          <w:b/>
          <w:bCs/>
          <w:noProof/>
        </w:rPr>
      </w:sdtEndPr>
      <w:sdtContent>
        <w:p w14:paraId="39C8CE7A" w14:textId="2281CEB5" w:rsidR="003200D4" w:rsidRDefault="003200D4">
          <w:pPr>
            <w:pStyle w:val="TOCHeading"/>
          </w:pPr>
          <w:r>
            <w:t>Table of Contents</w:t>
          </w:r>
        </w:p>
        <w:p w14:paraId="14CA6FC0" w14:textId="5B594784" w:rsidR="007C2DE4" w:rsidRDefault="003200D4">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206706869" w:history="1">
            <w:r w:rsidR="007C2DE4" w:rsidRPr="00332117">
              <w:rPr>
                <w:rStyle w:val="Hyperlink"/>
                <w:noProof/>
              </w:rPr>
              <w:t>Executive Summary</w:t>
            </w:r>
            <w:r w:rsidR="007C2DE4">
              <w:rPr>
                <w:noProof/>
                <w:webHidden/>
              </w:rPr>
              <w:tab/>
            </w:r>
            <w:r w:rsidR="007C2DE4">
              <w:rPr>
                <w:noProof/>
                <w:webHidden/>
              </w:rPr>
              <w:fldChar w:fldCharType="begin"/>
            </w:r>
            <w:r w:rsidR="007C2DE4">
              <w:rPr>
                <w:noProof/>
                <w:webHidden/>
              </w:rPr>
              <w:instrText xml:space="preserve"> PAGEREF _Toc206706869 \h </w:instrText>
            </w:r>
            <w:r w:rsidR="007C2DE4">
              <w:rPr>
                <w:noProof/>
                <w:webHidden/>
              </w:rPr>
            </w:r>
            <w:r w:rsidR="007C2DE4">
              <w:rPr>
                <w:noProof/>
                <w:webHidden/>
              </w:rPr>
              <w:fldChar w:fldCharType="separate"/>
            </w:r>
            <w:r w:rsidR="007C2DE4">
              <w:rPr>
                <w:noProof/>
                <w:webHidden/>
              </w:rPr>
              <w:t>2</w:t>
            </w:r>
            <w:r w:rsidR="007C2DE4">
              <w:rPr>
                <w:noProof/>
                <w:webHidden/>
              </w:rPr>
              <w:fldChar w:fldCharType="end"/>
            </w:r>
          </w:hyperlink>
        </w:p>
        <w:p w14:paraId="352DD7B1" w14:textId="6BBF9EC6" w:rsidR="007C2DE4" w:rsidRDefault="007C2DE4">
          <w:pPr>
            <w:pStyle w:val="TOC1"/>
            <w:tabs>
              <w:tab w:val="right" w:leader="dot" w:pos="9350"/>
            </w:tabs>
            <w:rPr>
              <w:rFonts w:eastAsiaTheme="minorEastAsia"/>
              <w:noProof/>
              <w:kern w:val="2"/>
              <w:sz w:val="24"/>
              <w:szCs w:val="24"/>
              <w14:ligatures w14:val="standardContextual"/>
            </w:rPr>
          </w:pPr>
          <w:hyperlink w:anchor="_Toc206706870" w:history="1">
            <w:r w:rsidRPr="00332117">
              <w:rPr>
                <w:rStyle w:val="Hyperlink"/>
                <w:rFonts w:ascii="Arial" w:hAnsi="Arial" w:cs="Arial"/>
                <w:noProof/>
              </w:rPr>
              <w:t>Purpose of This SOP:</w:t>
            </w:r>
            <w:r>
              <w:rPr>
                <w:noProof/>
                <w:webHidden/>
              </w:rPr>
              <w:tab/>
            </w:r>
            <w:r>
              <w:rPr>
                <w:noProof/>
                <w:webHidden/>
              </w:rPr>
              <w:fldChar w:fldCharType="begin"/>
            </w:r>
            <w:r>
              <w:rPr>
                <w:noProof/>
                <w:webHidden/>
              </w:rPr>
              <w:instrText xml:space="preserve"> PAGEREF _Toc206706870 \h </w:instrText>
            </w:r>
            <w:r>
              <w:rPr>
                <w:noProof/>
                <w:webHidden/>
              </w:rPr>
            </w:r>
            <w:r>
              <w:rPr>
                <w:noProof/>
                <w:webHidden/>
              </w:rPr>
              <w:fldChar w:fldCharType="separate"/>
            </w:r>
            <w:r>
              <w:rPr>
                <w:noProof/>
                <w:webHidden/>
              </w:rPr>
              <w:t>4</w:t>
            </w:r>
            <w:r>
              <w:rPr>
                <w:noProof/>
                <w:webHidden/>
              </w:rPr>
              <w:fldChar w:fldCharType="end"/>
            </w:r>
          </w:hyperlink>
        </w:p>
        <w:p w14:paraId="3AB86AF5" w14:textId="41647D69" w:rsidR="007C2DE4" w:rsidRDefault="007C2DE4">
          <w:pPr>
            <w:pStyle w:val="TOC1"/>
            <w:tabs>
              <w:tab w:val="right" w:leader="dot" w:pos="9350"/>
            </w:tabs>
            <w:rPr>
              <w:rFonts w:eastAsiaTheme="minorEastAsia"/>
              <w:noProof/>
              <w:kern w:val="2"/>
              <w:sz w:val="24"/>
              <w:szCs w:val="24"/>
              <w14:ligatures w14:val="standardContextual"/>
            </w:rPr>
          </w:pPr>
          <w:hyperlink w:anchor="_Toc206706871" w:history="1">
            <w:r w:rsidRPr="00332117">
              <w:rPr>
                <w:rStyle w:val="Hyperlink"/>
                <w:rFonts w:ascii="Arial" w:hAnsi="Arial" w:cs="Arial"/>
                <w:noProof/>
              </w:rPr>
              <w:t>Glossary of Terms/Definitions:</w:t>
            </w:r>
            <w:r>
              <w:rPr>
                <w:noProof/>
                <w:webHidden/>
              </w:rPr>
              <w:tab/>
            </w:r>
            <w:r>
              <w:rPr>
                <w:noProof/>
                <w:webHidden/>
              </w:rPr>
              <w:fldChar w:fldCharType="begin"/>
            </w:r>
            <w:r>
              <w:rPr>
                <w:noProof/>
                <w:webHidden/>
              </w:rPr>
              <w:instrText xml:space="preserve"> PAGEREF _Toc206706871 \h </w:instrText>
            </w:r>
            <w:r>
              <w:rPr>
                <w:noProof/>
                <w:webHidden/>
              </w:rPr>
            </w:r>
            <w:r>
              <w:rPr>
                <w:noProof/>
                <w:webHidden/>
              </w:rPr>
              <w:fldChar w:fldCharType="separate"/>
            </w:r>
            <w:r>
              <w:rPr>
                <w:noProof/>
                <w:webHidden/>
              </w:rPr>
              <w:t>4</w:t>
            </w:r>
            <w:r>
              <w:rPr>
                <w:noProof/>
                <w:webHidden/>
              </w:rPr>
              <w:fldChar w:fldCharType="end"/>
            </w:r>
          </w:hyperlink>
        </w:p>
        <w:p w14:paraId="4FEC01AF" w14:textId="7D55018D" w:rsidR="007C2DE4" w:rsidRDefault="007C2DE4">
          <w:pPr>
            <w:pStyle w:val="TOC1"/>
            <w:tabs>
              <w:tab w:val="right" w:leader="dot" w:pos="9350"/>
            </w:tabs>
            <w:rPr>
              <w:rFonts w:eastAsiaTheme="minorEastAsia"/>
              <w:noProof/>
              <w:kern w:val="2"/>
              <w:sz w:val="24"/>
              <w:szCs w:val="24"/>
              <w14:ligatures w14:val="standardContextual"/>
            </w:rPr>
          </w:pPr>
          <w:hyperlink w:anchor="_Toc206706872" w:history="1">
            <w:r w:rsidRPr="00332117">
              <w:rPr>
                <w:rStyle w:val="Hyperlink"/>
                <w:rFonts w:ascii="Arial" w:hAnsi="Arial" w:cs="Arial"/>
                <w:noProof/>
              </w:rPr>
              <w:t>Criteria for Declarable Substance List:</w:t>
            </w:r>
            <w:r>
              <w:rPr>
                <w:noProof/>
                <w:webHidden/>
              </w:rPr>
              <w:tab/>
            </w:r>
            <w:r>
              <w:rPr>
                <w:noProof/>
                <w:webHidden/>
              </w:rPr>
              <w:fldChar w:fldCharType="begin"/>
            </w:r>
            <w:r>
              <w:rPr>
                <w:noProof/>
                <w:webHidden/>
              </w:rPr>
              <w:instrText xml:space="preserve"> PAGEREF _Toc206706872 \h </w:instrText>
            </w:r>
            <w:r>
              <w:rPr>
                <w:noProof/>
                <w:webHidden/>
              </w:rPr>
            </w:r>
            <w:r>
              <w:rPr>
                <w:noProof/>
                <w:webHidden/>
              </w:rPr>
              <w:fldChar w:fldCharType="separate"/>
            </w:r>
            <w:r>
              <w:rPr>
                <w:noProof/>
                <w:webHidden/>
              </w:rPr>
              <w:t>5</w:t>
            </w:r>
            <w:r>
              <w:rPr>
                <w:noProof/>
                <w:webHidden/>
              </w:rPr>
              <w:fldChar w:fldCharType="end"/>
            </w:r>
          </w:hyperlink>
        </w:p>
        <w:p w14:paraId="2C0977C2" w14:textId="7156BC95" w:rsidR="007C2DE4" w:rsidRDefault="007C2DE4">
          <w:pPr>
            <w:pStyle w:val="TOC2"/>
            <w:tabs>
              <w:tab w:val="right" w:leader="dot" w:pos="9350"/>
            </w:tabs>
            <w:rPr>
              <w:rFonts w:eastAsiaTheme="minorEastAsia"/>
              <w:noProof/>
              <w:kern w:val="2"/>
              <w:sz w:val="24"/>
              <w:szCs w:val="24"/>
              <w14:ligatures w14:val="standardContextual"/>
            </w:rPr>
          </w:pPr>
          <w:hyperlink w:anchor="_Toc206706873" w:history="1">
            <w:r w:rsidRPr="00332117">
              <w:rPr>
                <w:rStyle w:val="Hyperlink"/>
                <w:rFonts w:ascii="Arial" w:hAnsi="Arial" w:cs="Arial"/>
                <w:noProof/>
              </w:rPr>
              <w:t>DSL Classification</w:t>
            </w:r>
            <w:r>
              <w:rPr>
                <w:noProof/>
                <w:webHidden/>
              </w:rPr>
              <w:tab/>
            </w:r>
            <w:r>
              <w:rPr>
                <w:noProof/>
                <w:webHidden/>
              </w:rPr>
              <w:fldChar w:fldCharType="begin"/>
            </w:r>
            <w:r>
              <w:rPr>
                <w:noProof/>
                <w:webHidden/>
              </w:rPr>
              <w:instrText xml:space="preserve"> PAGEREF _Toc206706873 \h </w:instrText>
            </w:r>
            <w:r>
              <w:rPr>
                <w:noProof/>
                <w:webHidden/>
              </w:rPr>
            </w:r>
            <w:r>
              <w:rPr>
                <w:noProof/>
                <w:webHidden/>
              </w:rPr>
              <w:fldChar w:fldCharType="separate"/>
            </w:r>
            <w:r>
              <w:rPr>
                <w:noProof/>
                <w:webHidden/>
              </w:rPr>
              <w:t>5</w:t>
            </w:r>
            <w:r>
              <w:rPr>
                <w:noProof/>
                <w:webHidden/>
              </w:rPr>
              <w:fldChar w:fldCharType="end"/>
            </w:r>
          </w:hyperlink>
        </w:p>
        <w:p w14:paraId="02441783" w14:textId="000D460A" w:rsidR="007C2DE4" w:rsidRDefault="007C2DE4">
          <w:pPr>
            <w:pStyle w:val="TOC2"/>
            <w:tabs>
              <w:tab w:val="right" w:leader="dot" w:pos="9350"/>
            </w:tabs>
            <w:rPr>
              <w:rFonts w:eastAsiaTheme="minorEastAsia"/>
              <w:noProof/>
              <w:kern w:val="2"/>
              <w:sz w:val="24"/>
              <w:szCs w:val="24"/>
              <w14:ligatures w14:val="standardContextual"/>
            </w:rPr>
          </w:pPr>
          <w:hyperlink w:anchor="_Toc206706874" w:history="1">
            <w:r w:rsidRPr="00332117">
              <w:rPr>
                <w:rStyle w:val="Hyperlink"/>
                <w:rFonts w:ascii="Arial" w:hAnsi="Arial" w:cs="Arial"/>
                <w:noProof/>
              </w:rPr>
              <w:t>Reason Codes:</w:t>
            </w:r>
            <w:r>
              <w:rPr>
                <w:noProof/>
                <w:webHidden/>
              </w:rPr>
              <w:tab/>
            </w:r>
            <w:r>
              <w:rPr>
                <w:noProof/>
                <w:webHidden/>
              </w:rPr>
              <w:fldChar w:fldCharType="begin"/>
            </w:r>
            <w:r>
              <w:rPr>
                <w:noProof/>
                <w:webHidden/>
              </w:rPr>
              <w:instrText xml:space="preserve"> PAGEREF _Toc206706874 \h </w:instrText>
            </w:r>
            <w:r>
              <w:rPr>
                <w:noProof/>
                <w:webHidden/>
              </w:rPr>
            </w:r>
            <w:r>
              <w:rPr>
                <w:noProof/>
                <w:webHidden/>
              </w:rPr>
              <w:fldChar w:fldCharType="separate"/>
            </w:r>
            <w:r>
              <w:rPr>
                <w:noProof/>
                <w:webHidden/>
              </w:rPr>
              <w:t>5</w:t>
            </w:r>
            <w:r>
              <w:rPr>
                <w:noProof/>
                <w:webHidden/>
              </w:rPr>
              <w:fldChar w:fldCharType="end"/>
            </w:r>
          </w:hyperlink>
        </w:p>
        <w:p w14:paraId="09469B64" w14:textId="1CC896A1" w:rsidR="007C2DE4" w:rsidRDefault="007C2DE4">
          <w:pPr>
            <w:pStyle w:val="TOC1"/>
            <w:tabs>
              <w:tab w:val="right" w:leader="dot" w:pos="9350"/>
            </w:tabs>
            <w:rPr>
              <w:rFonts w:eastAsiaTheme="minorEastAsia"/>
              <w:noProof/>
              <w:kern w:val="2"/>
              <w:sz w:val="24"/>
              <w:szCs w:val="24"/>
              <w14:ligatures w14:val="standardContextual"/>
            </w:rPr>
          </w:pPr>
          <w:hyperlink w:anchor="_Toc206706875" w:history="1">
            <w:r w:rsidRPr="00332117">
              <w:rPr>
                <w:rStyle w:val="Hyperlink"/>
                <w:rFonts w:ascii="Arial" w:hAnsi="Arial" w:cs="Arial"/>
                <w:noProof/>
              </w:rPr>
              <w:t>HEDSL Committee Review Procedure</w:t>
            </w:r>
            <w:r>
              <w:rPr>
                <w:noProof/>
                <w:webHidden/>
              </w:rPr>
              <w:tab/>
            </w:r>
            <w:r>
              <w:rPr>
                <w:noProof/>
                <w:webHidden/>
              </w:rPr>
              <w:fldChar w:fldCharType="begin"/>
            </w:r>
            <w:r>
              <w:rPr>
                <w:noProof/>
                <w:webHidden/>
              </w:rPr>
              <w:instrText xml:space="preserve"> PAGEREF _Toc206706875 \h </w:instrText>
            </w:r>
            <w:r>
              <w:rPr>
                <w:noProof/>
                <w:webHidden/>
              </w:rPr>
            </w:r>
            <w:r>
              <w:rPr>
                <w:noProof/>
                <w:webHidden/>
              </w:rPr>
              <w:fldChar w:fldCharType="separate"/>
            </w:r>
            <w:r>
              <w:rPr>
                <w:noProof/>
                <w:webHidden/>
              </w:rPr>
              <w:t>6</w:t>
            </w:r>
            <w:r>
              <w:rPr>
                <w:noProof/>
                <w:webHidden/>
              </w:rPr>
              <w:fldChar w:fldCharType="end"/>
            </w:r>
          </w:hyperlink>
        </w:p>
        <w:p w14:paraId="74C3F18A" w14:textId="0E0EE195" w:rsidR="007C2DE4" w:rsidRDefault="007C2DE4">
          <w:pPr>
            <w:pStyle w:val="TOC2"/>
            <w:tabs>
              <w:tab w:val="right" w:leader="dot" w:pos="9350"/>
            </w:tabs>
            <w:rPr>
              <w:rFonts w:eastAsiaTheme="minorEastAsia"/>
              <w:noProof/>
              <w:kern w:val="2"/>
              <w:sz w:val="24"/>
              <w:szCs w:val="24"/>
              <w14:ligatures w14:val="standardContextual"/>
            </w:rPr>
          </w:pPr>
          <w:hyperlink w:anchor="_Toc206706876" w:history="1">
            <w:r w:rsidRPr="00332117">
              <w:rPr>
                <w:rStyle w:val="Hyperlink"/>
                <w:rFonts w:ascii="Arial" w:hAnsi="Arial" w:cs="Arial"/>
                <w:noProof/>
              </w:rPr>
              <w:t>Process:</w:t>
            </w:r>
            <w:r>
              <w:rPr>
                <w:noProof/>
                <w:webHidden/>
              </w:rPr>
              <w:tab/>
            </w:r>
            <w:r>
              <w:rPr>
                <w:noProof/>
                <w:webHidden/>
              </w:rPr>
              <w:fldChar w:fldCharType="begin"/>
            </w:r>
            <w:r>
              <w:rPr>
                <w:noProof/>
                <w:webHidden/>
              </w:rPr>
              <w:instrText xml:space="preserve"> PAGEREF _Toc206706876 \h </w:instrText>
            </w:r>
            <w:r>
              <w:rPr>
                <w:noProof/>
                <w:webHidden/>
              </w:rPr>
            </w:r>
            <w:r>
              <w:rPr>
                <w:noProof/>
                <w:webHidden/>
              </w:rPr>
              <w:fldChar w:fldCharType="separate"/>
            </w:r>
            <w:r>
              <w:rPr>
                <w:noProof/>
                <w:webHidden/>
              </w:rPr>
              <w:t>6</w:t>
            </w:r>
            <w:r>
              <w:rPr>
                <w:noProof/>
                <w:webHidden/>
              </w:rPr>
              <w:fldChar w:fldCharType="end"/>
            </w:r>
          </w:hyperlink>
        </w:p>
        <w:p w14:paraId="1C164465" w14:textId="0D4ED005" w:rsidR="007C2DE4" w:rsidRDefault="007C2DE4">
          <w:pPr>
            <w:pStyle w:val="TOC1"/>
            <w:tabs>
              <w:tab w:val="right" w:leader="dot" w:pos="9350"/>
            </w:tabs>
            <w:rPr>
              <w:rFonts w:eastAsiaTheme="minorEastAsia"/>
              <w:noProof/>
              <w:kern w:val="2"/>
              <w:sz w:val="24"/>
              <w:szCs w:val="24"/>
              <w14:ligatures w14:val="standardContextual"/>
            </w:rPr>
          </w:pPr>
          <w:hyperlink w:anchor="_Toc206706877" w:history="1">
            <w:r w:rsidRPr="00332117">
              <w:rPr>
                <w:rStyle w:val="Hyperlink"/>
                <w:b/>
                <w:bCs/>
                <w:noProof/>
              </w:rPr>
              <w:t>The Dossiers</w:t>
            </w:r>
            <w:r>
              <w:rPr>
                <w:noProof/>
                <w:webHidden/>
              </w:rPr>
              <w:tab/>
            </w:r>
            <w:r>
              <w:rPr>
                <w:noProof/>
                <w:webHidden/>
              </w:rPr>
              <w:fldChar w:fldCharType="begin"/>
            </w:r>
            <w:r>
              <w:rPr>
                <w:noProof/>
                <w:webHidden/>
              </w:rPr>
              <w:instrText xml:space="preserve"> PAGEREF _Toc206706877 \h </w:instrText>
            </w:r>
            <w:r>
              <w:rPr>
                <w:noProof/>
                <w:webHidden/>
              </w:rPr>
            </w:r>
            <w:r>
              <w:rPr>
                <w:noProof/>
                <w:webHidden/>
              </w:rPr>
              <w:fldChar w:fldCharType="separate"/>
            </w:r>
            <w:r>
              <w:rPr>
                <w:noProof/>
                <w:webHidden/>
              </w:rPr>
              <w:t>7</w:t>
            </w:r>
            <w:r>
              <w:rPr>
                <w:noProof/>
                <w:webHidden/>
              </w:rPr>
              <w:fldChar w:fldCharType="end"/>
            </w:r>
          </w:hyperlink>
        </w:p>
        <w:p w14:paraId="1D4A9868" w14:textId="424A113A" w:rsidR="007C2DE4" w:rsidRDefault="007C2DE4">
          <w:pPr>
            <w:pStyle w:val="TOC2"/>
            <w:tabs>
              <w:tab w:val="right" w:leader="dot" w:pos="9350"/>
            </w:tabs>
            <w:rPr>
              <w:rFonts w:eastAsiaTheme="minorEastAsia"/>
              <w:noProof/>
              <w:kern w:val="2"/>
              <w:sz w:val="24"/>
              <w:szCs w:val="24"/>
              <w14:ligatures w14:val="standardContextual"/>
            </w:rPr>
          </w:pPr>
          <w:hyperlink w:anchor="_Toc206706878" w:history="1">
            <w:r w:rsidRPr="00332117">
              <w:rPr>
                <w:rStyle w:val="Hyperlink"/>
                <w:rFonts w:ascii="Arial" w:hAnsi="Arial" w:cs="Arial"/>
                <w:noProof/>
              </w:rPr>
              <w:t>Criteria for substance Inclusion/Exclusion:</w:t>
            </w:r>
            <w:r>
              <w:rPr>
                <w:noProof/>
                <w:webHidden/>
              </w:rPr>
              <w:tab/>
            </w:r>
            <w:r>
              <w:rPr>
                <w:noProof/>
                <w:webHidden/>
              </w:rPr>
              <w:fldChar w:fldCharType="begin"/>
            </w:r>
            <w:r>
              <w:rPr>
                <w:noProof/>
                <w:webHidden/>
              </w:rPr>
              <w:instrText xml:space="preserve"> PAGEREF _Toc206706878 \h </w:instrText>
            </w:r>
            <w:r>
              <w:rPr>
                <w:noProof/>
                <w:webHidden/>
              </w:rPr>
            </w:r>
            <w:r>
              <w:rPr>
                <w:noProof/>
                <w:webHidden/>
              </w:rPr>
              <w:fldChar w:fldCharType="separate"/>
            </w:r>
            <w:r>
              <w:rPr>
                <w:noProof/>
                <w:webHidden/>
              </w:rPr>
              <w:t>7</w:t>
            </w:r>
            <w:r>
              <w:rPr>
                <w:noProof/>
                <w:webHidden/>
              </w:rPr>
              <w:fldChar w:fldCharType="end"/>
            </w:r>
          </w:hyperlink>
        </w:p>
        <w:p w14:paraId="51C58CB8" w14:textId="0D0E0483" w:rsidR="007C2DE4" w:rsidRDefault="007C2DE4">
          <w:pPr>
            <w:pStyle w:val="TOC1"/>
            <w:tabs>
              <w:tab w:val="right" w:leader="dot" w:pos="9350"/>
            </w:tabs>
            <w:rPr>
              <w:rFonts w:eastAsiaTheme="minorEastAsia"/>
              <w:noProof/>
              <w:kern w:val="2"/>
              <w:sz w:val="24"/>
              <w:szCs w:val="24"/>
              <w14:ligatures w14:val="standardContextual"/>
            </w:rPr>
          </w:pPr>
          <w:hyperlink w:anchor="_Toc206706879" w:history="1">
            <w:r w:rsidRPr="00332117">
              <w:rPr>
                <w:rStyle w:val="Hyperlink"/>
                <w:rFonts w:ascii="Arial" w:hAnsi="Arial" w:cs="Arial"/>
                <w:noProof/>
              </w:rPr>
              <w:t>Format of HEDSL:</w:t>
            </w:r>
            <w:r>
              <w:rPr>
                <w:noProof/>
                <w:webHidden/>
              </w:rPr>
              <w:tab/>
            </w:r>
            <w:r>
              <w:rPr>
                <w:noProof/>
                <w:webHidden/>
              </w:rPr>
              <w:fldChar w:fldCharType="begin"/>
            </w:r>
            <w:r>
              <w:rPr>
                <w:noProof/>
                <w:webHidden/>
              </w:rPr>
              <w:instrText xml:space="preserve"> PAGEREF _Toc206706879 \h </w:instrText>
            </w:r>
            <w:r>
              <w:rPr>
                <w:noProof/>
                <w:webHidden/>
              </w:rPr>
            </w:r>
            <w:r>
              <w:rPr>
                <w:noProof/>
                <w:webHidden/>
              </w:rPr>
              <w:fldChar w:fldCharType="separate"/>
            </w:r>
            <w:r>
              <w:rPr>
                <w:noProof/>
                <w:webHidden/>
              </w:rPr>
              <w:t>7</w:t>
            </w:r>
            <w:r>
              <w:rPr>
                <w:noProof/>
                <w:webHidden/>
              </w:rPr>
              <w:fldChar w:fldCharType="end"/>
            </w:r>
          </w:hyperlink>
        </w:p>
        <w:p w14:paraId="22B45EDD" w14:textId="5710E678" w:rsidR="007C2DE4" w:rsidRDefault="007C2DE4">
          <w:pPr>
            <w:pStyle w:val="TOC2"/>
            <w:tabs>
              <w:tab w:val="right" w:leader="dot" w:pos="9350"/>
            </w:tabs>
            <w:rPr>
              <w:rFonts w:eastAsiaTheme="minorEastAsia"/>
              <w:noProof/>
              <w:kern w:val="2"/>
              <w:sz w:val="24"/>
              <w:szCs w:val="24"/>
              <w14:ligatures w14:val="standardContextual"/>
            </w:rPr>
          </w:pPr>
          <w:hyperlink w:anchor="_Toc206706880" w:history="1">
            <w:r w:rsidRPr="00332117">
              <w:rPr>
                <w:rStyle w:val="Hyperlink"/>
                <w:rFonts w:ascii="Arial" w:hAnsi="Arial" w:cs="Arial"/>
                <w:noProof/>
              </w:rPr>
              <w:t>HEDSL Tabs</w:t>
            </w:r>
            <w:r>
              <w:rPr>
                <w:noProof/>
                <w:webHidden/>
              </w:rPr>
              <w:tab/>
            </w:r>
            <w:r>
              <w:rPr>
                <w:noProof/>
                <w:webHidden/>
              </w:rPr>
              <w:fldChar w:fldCharType="begin"/>
            </w:r>
            <w:r>
              <w:rPr>
                <w:noProof/>
                <w:webHidden/>
              </w:rPr>
              <w:instrText xml:space="preserve"> PAGEREF _Toc206706880 \h </w:instrText>
            </w:r>
            <w:r>
              <w:rPr>
                <w:noProof/>
                <w:webHidden/>
              </w:rPr>
            </w:r>
            <w:r>
              <w:rPr>
                <w:noProof/>
                <w:webHidden/>
              </w:rPr>
              <w:fldChar w:fldCharType="separate"/>
            </w:r>
            <w:r>
              <w:rPr>
                <w:noProof/>
                <w:webHidden/>
              </w:rPr>
              <w:t>8</w:t>
            </w:r>
            <w:r>
              <w:rPr>
                <w:noProof/>
                <w:webHidden/>
              </w:rPr>
              <w:fldChar w:fldCharType="end"/>
            </w:r>
          </w:hyperlink>
        </w:p>
        <w:p w14:paraId="7CA80CF6" w14:textId="79016AFE" w:rsidR="007C2DE4" w:rsidRDefault="007C2DE4">
          <w:pPr>
            <w:pStyle w:val="TOC2"/>
            <w:tabs>
              <w:tab w:val="right" w:leader="dot" w:pos="9350"/>
            </w:tabs>
            <w:rPr>
              <w:rFonts w:eastAsiaTheme="minorEastAsia"/>
              <w:noProof/>
              <w:kern w:val="2"/>
              <w:sz w:val="24"/>
              <w:szCs w:val="24"/>
              <w14:ligatures w14:val="standardContextual"/>
            </w:rPr>
          </w:pPr>
          <w:hyperlink w:anchor="_Toc206706881" w:history="1">
            <w:r w:rsidRPr="00332117">
              <w:rPr>
                <w:rStyle w:val="Hyperlink"/>
                <w:b/>
                <w:bCs/>
                <w:noProof/>
              </w:rPr>
              <w:t>Reference List</w:t>
            </w:r>
            <w:r>
              <w:rPr>
                <w:noProof/>
                <w:webHidden/>
              </w:rPr>
              <w:tab/>
            </w:r>
            <w:r>
              <w:rPr>
                <w:noProof/>
                <w:webHidden/>
              </w:rPr>
              <w:fldChar w:fldCharType="begin"/>
            </w:r>
            <w:r>
              <w:rPr>
                <w:noProof/>
                <w:webHidden/>
              </w:rPr>
              <w:instrText xml:space="preserve"> PAGEREF _Toc206706881 \h </w:instrText>
            </w:r>
            <w:r>
              <w:rPr>
                <w:noProof/>
                <w:webHidden/>
              </w:rPr>
            </w:r>
            <w:r>
              <w:rPr>
                <w:noProof/>
                <w:webHidden/>
              </w:rPr>
              <w:fldChar w:fldCharType="separate"/>
            </w:r>
            <w:r>
              <w:rPr>
                <w:noProof/>
                <w:webHidden/>
              </w:rPr>
              <w:t>8</w:t>
            </w:r>
            <w:r>
              <w:rPr>
                <w:noProof/>
                <w:webHidden/>
              </w:rPr>
              <w:fldChar w:fldCharType="end"/>
            </w:r>
          </w:hyperlink>
        </w:p>
        <w:p w14:paraId="560640E9" w14:textId="3458E4D8" w:rsidR="007C2DE4" w:rsidRDefault="007C2DE4">
          <w:pPr>
            <w:pStyle w:val="TOC2"/>
            <w:tabs>
              <w:tab w:val="right" w:leader="dot" w:pos="9350"/>
            </w:tabs>
            <w:rPr>
              <w:rFonts w:eastAsiaTheme="minorEastAsia"/>
              <w:noProof/>
              <w:kern w:val="2"/>
              <w:sz w:val="24"/>
              <w:szCs w:val="24"/>
              <w14:ligatures w14:val="standardContextual"/>
            </w:rPr>
          </w:pPr>
          <w:hyperlink w:anchor="_Toc206706882" w:history="1">
            <w:r w:rsidRPr="00332117">
              <w:rPr>
                <w:rStyle w:val="Hyperlink"/>
                <w:b/>
                <w:bCs/>
                <w:noProof/>
              </w:rPr>
              <w:t>Divergences</w:t>
            </w:r>
            <w:r>
              <w:rPr>
                <w:noProof/>
                <w:webHidden/>
              </w:rPr>
              <w:tab/>
            </w:r>
            <w:r>
              <w:rPr>
                <w:noProof/>
                <w:webHidden/>
              </w:rPr>
              <w:fldChar w:fldCharType="begin"/>
            </w:r>
            <w:r>
              <w:rPr>
                <w:noProof/>
                <w:webHidden/>
              </w:rPr>
              <w:instrText xml:space="preserve"> PAGEREF _Toc206706882 \h </w:instrText>
            </w:r>
            <w:r>
              <w:rPr>
                <w:noProof/>
                <w:webHidden/>
              </w:rPr>
            </w:r>
            <w:r>
              <w:rPr>
                <w:noProof/>
                <w:webHidden/>
              </w:rPr>
              <w:fldChar w:fldCharType="separate"/>
            </w:r>
            <w:r>
              <w:rPr>
                <w:noProof/>
                <w:webHidden/>
              </w:rPr>
              <w:t>8</w:t>
            </w:r>
            <w:r>
              <w:rPr>
                <w:noProof/>
                <w:webHidden/>
              </w:rPr>
              <w:fldChar w:fldCharType="end"/>
            </w:r>
          </w:hyperlink>
        </w:p>
        <w:p w14:paraId="48F51B1D" w14:textId="05E3F0A9" w:rsidR="007C2DE4" w:rsidRDefault="007C2DE4">
          <w:pPr>
            <w:pStyle w:val="TOC2"/>
            <w:tabs>
              <w:tab w:val="right" w:leader="dot" w:pos="9350"/>
            </w:tabs>
            <w:rPr>
              <w:rFonts w:eastAsiaTheme="minorEastAsia"/>
              <w:noProof/>
              <w:kern w:val="2"/>
              <w:sz w:val="24"/>
              <w:szCs w:val="24"/>
              <w14:ligatures w14:val="standardContextual"/>
            </w:rPr>
          </w:pPr>
          <w:hyperlink w:anchor="_Toc206706883" w:history="1">
            <w:r w:rsidRPr="00332117">
              <w:rPr>
                <w:rStyle w:val="Hyperlink"/>
                <w:b/>
                <w:bCs/>
                <w:noProof/>
              </w:rPr>
              <w:t>Changes From last Version</w:t>
            </w:r>
            <w:r>
              <w:rPr>
                <w:noProof/>
                <w:webHidden/>
              </w:rPr>
              <w:tab/>
            </w:r>
            <w:r>
              <w:rPr>
                <w:noProof/>
                <w:webHidden/>
              </w:rPr>
              <w:fldChar w:fldCharType="begin"/>
            </w:r>
            <w:r>
              <w:rPr>
                <w:noProof/>
                <w:webHidden/>
              </w:rPr>
              <w:instrText xml:space="preserve"> PAGEREF _Toc206706883 \h </w:instrText>
            </w:r>
            <w:r>
              <w:rPr>
                <w:noProof/>
                <w:webHidden/>
              </w:rPr>
            </w:r>
            <w:r>
              <w:rPr>
                <w:noProof/>
                <w:webHidden/>
              </w:rPr>
              <w:fldChar w:fldCharType="separate"/>
            </w:r>
            <w:r>
              <w:rPr>
                <w:noProof/>
                <w:webHidden/>
              </w:rPr>
              <w:t>8</w:t>
            </w:r>
            <w:r>
              <w:rPr>
                <w:noProof/>
                <w:webHidden/>
              </w:rPr>
              <w:fldChar w:fldCharType="end"/>
            </w:r>
          </w:hyperlink>
        </w:p>
        <w:p w14:paraId="7E1DF3A9" w14:textId="16266DE2" w:rsidR="007C2DE4" w:rsidRDefault="007C2DE4">
          <w:pPr>
            <w:pStyle w:val="TOC2"/>
            <w:tabs>
              <w:tab w:val="right" w:leader="dot" w:pos="9350"/>
            </w:tabs>
            <w:rPr>
              <w:rFonts w:eastAsiaTheme="minorEastAsia"/>
              <w:noProof/>
              <w:kern w:val="2"/>
              <w:sz w:val="24"/>
              <w:szCs w:val="24"/>
              <w14:ligatures w14:val="standardContextual"/>
            </w:rPr>
          </w:pPr>
          <w:hyperlink w:anchor="_Toc206706884" w:history="1">
            <w:r w:rsidRPr="00332117">
              <w:rPr>
                <w:rStyle w:val="Hyperlink"/>
                <w:b/>
                <w:bCs/>
                <w:noProof/>
              </w:rPr>
              <w:t>Version-Disclaimer-information</w:t>
            </w:r>
            <w:r>
              <w:rPr>
                <w:noProof/>
                <w:webHidden/>
              </w:rPr>
              <w:tab/>
            </w:r>
            <w:r>
              <w:rPr>
                <w:noProof/>
                <w:webHidden/>
              </w:rPr>
              <w:fldChar w:fldCharType="begin"/>
            </w:r>
            <w:r>
              <w:rPr>
                <w:noProof/>
                <w:webHidden/>
              </w:rPr>
              <w:instrText xml:space="preserve"> PAGEREF _Toc206706884 \h </w:instrText>
            </w:r>
            <w:r>
              <w:rPr>
                <w:noProof/>
                <w:webHidden/>
              </w:rPr>
            </w:r>
            <w:r>
              <w:rPr>
                <w:noProof/>
                <w:webHidden/>
              </w:rPr>
              <w:fldChar w:fldCharType="separate"/>
            </w:r>
            <w:r>
              <w:rPr>
                <w:noProof/>
                <w:webHidden/>
              </w:rPr>
              <w:t>8</w:t>
            </w:r>
            <w:r>
              <w:rPr>
                <w:noProof/>
                <w:webHidden/>
              </w:rPr>
              <w:fldChar w:fldCharType="end"/>
            </w:r>
          </w:hyperlink>
        </w:p>
        <w:p w14:paraId="5E198936" w14:textId="7C408A07" w:rsidR="007C2DE4" w:rsidRDefault="007C2DE4">
          <w:pPr>
            <w:pStyle w:val="TOC2"/>
            <w:tabs>
              <w:tab w:val="right" w:leader="dot" w:pos="9350"/>
            </w:tabs>
            <w:rPr>
              <w:rFonts w:eastAsiaTheme="minorEastAsia"/>
              <w:noProof/>
              <w:kern w:val="2"/>
              <w:sz w:val="24"/>
              <w:szCs w:val="24"/>
              <w14:ligatures w14:val="standardContextual"/>
            </w:rPr>
          </w:pPr>
          <w:hyperlink w:anchor="_Toc206706885" w:history="1">
            <w:r w:rsidRPr="00332117">
              <w:rPr>
                <w:rStyle w:val="Hyperlink"/>
                <w:rFonts w:ascii="Arial" w:hAnsi="Arial" w:cs="Arial"/>
                <w:noProof/>
              </w:rPr>
              <w:t>Definition of a substance and/or substance group</w:t>
            </w:r>
            <w:r>
              <w:rPr>
                <w:noProof/>
                <w:webHidden/>
              </w:rPr>
              <w:tab/>
            </w:r>
            <w:r>
              <w:rPr>
                <w:noProof/>
                <w:webHidden/>
              </w:rPr>
              <w:fldChar w:fldCharType="begin"/>
            </w:r>
            <w:r>
              <w:rPr>
                <w:noProof/>
                <w:webHidden/>
              </w:rPr>
              <w:instrText xml:space="preserve"> PAGEREF _Toc206706885 \h </w:instrText>
            </w:r>
            <w:r>
              <w:rPr>
                <w:noProof/>
                <w:webHidden/>
              </w:rPr>
            </w:r>
            <w:r>
              <w:rPr>
                <w:noProof/>
                <w:webHidden/>
              </w:rPr>
              <w:fldChar w:fldCharType="separate"/>
            </w:r>
            <w:r>
              <w:rPr>
                <w:noProof/>
                <w:webHidden/>
              </w:rPr>
              <w:t>8</w:t>
            </w:r>
            <w:r>
              <w:rPr>
                <w:noProof/>
                <w:webHidden/>
              </w:rPr>
              <w:fldChar w:fldCharType="end"/>
            </w:r>
          </w:hyperlink>
        </w:p>
        <w:p w14:paraId="14B1CF56" w14:textId="2CFC6558" w:rsidR="007C2DE4" w:rsidRDefault="007C2DE4">
          <w:pPr>
            <w:pStyle w:val="TOC1"/>
            <w:tabs>
              <w:tab w:val="right" w:leader="dot" w:pos="9350"/>
            </w:tabs>
            <w:rPr>
              <w:rFonts w:eastAsiaTheme="minorEastAsia"/>
              <w:noProof/>
              <w:kern w:val="2"/>
              <w:sz w:val="24"/>
              <w:szCs w:val="24"/>
              <w14:ligatures w14:val="standardContextual"/>
            </w:rPr>
          </w:pPr>
          <w:hyperlink w:anchor="_Toc206706886" w:history="1">
            <w:r w:rsidRPr="00332117">
              <w:rPr>
                <w:rStyle w:val="Hyperlink"/>
                <w:rFonts w:ascii="Arial" w:hAnsi="Arial" w:cs="Arial"/>
                <w:noProof/>
              </w:rPr>
              <w:t>Rules of Declaration:</w:t>
            </w:r>
            <w:r>
              <w:rPr>
                <w:noProof/>
                <w:webHidden/>
              </w:rPr>
              <w:tab/>
            </w:r>
            <w:r>
              <w:rPr>
                <w:noProof/>
                <w:webHidden/>
              </w:rPr>
              <w:fldChar w:fldCharType="begin"/>
            </w:r>
            <w:r>
              <w:rPr>
                <w:noProof/>
                <w:webHidden/>
              </w:rPr>
              <w:instrText xml:space="preserve"> PAGEREF _Toc206706886 \h </w:instrText>
            </w:r>
            <w:r>
              <w:rPr>
                <w:noProof/>
                <w:webHidden/>
              </w:rPr>
            </w:r>
            <w:r>
              <w:rPr>
                <w:noProof/>
                <w:webHidden/>
              </w:rPr>
              <w:fldChar w:fldCharType="separate"/>
            </w:r>
            <w:r>
              <w:rPr>
                <w:noProof/>
                <w:webHidden/>
              </w:rPr>
              <w:t>9</w:t>
            </w:r>
            <w:r>
              <w:rPr>
                <w:noProof/>
                <w:webHidden/>
              </w:rPr>
              <w:fldChar w:fldCharType="end"/>
            </w:r>
          </w:hyperlink>
        </w:p>
        <w:p w14:paraId="046BCD3E" w14:textId="512431DE" w:rsidR="007C2DE4" w:rsidRDefault="007C2DE4">
          <w:pPr>
            <w:pStyle w:val="TOC2"/>
            <w:tabs>
              <w:tab w:val="right" w:leader="dot" w:pos="9350"/>
            </w:tabs>
            <w:rPr>
              <w:rFonts w:eastAsiaTheme="minorEastAsia"/>
              <w:noProof/>
              <w:kern w:val="2"/>
              <w:sz w:val="24"/>
              <w:szCs w:val="24"/>
              <w14:ligatures w14:val="standardContextual"/>
            </w:rPr>
          </w:pPr>
          <w:hyperlink w:anchor="_Toc206706887" w:history="1">
            <w:r w:rsidRPr="00332117">
              <w:rPr>
                <w:rStyle w:val="Hyperlink"/>
                <w:rFonts w:ascii="Arial" w:hAnsi="Arial" w:cs="Arial"/>
                <w:noProof/>
              </w:rPr>
              <w:t>Declaration of metal containing materials</w:t>
            </w:r>
            <w:r>
              <w:rPr>
                <w:noProof/>
                <w:webHidden/>
              </w:rPr>
              <w:tab/>
            </w:r>
            <w:r>
              <w:rPr>
                <w:noProof/>
                <w:webHidden/>
              </w:rPr>
              <w:fldChar w:fldCharType="begin"/>
            </w:r>
            <w:r>
              <w:rPr>
                <w:noProof/>
                <w:webHidden/>
              </w:rPr>
              <w:instrText xml:space="preserve"> PAGEREF _Toc206706887 \h </w:instrText>
            </w:r>
            <w:r>
              <w:rPr>
                <w:noProof/>
                <w:webHidden/>
              </w:rPr>
            </w:r>
            <w:r>
              <w:rPr>
                <w:noProof/>
                <w:webHidden/>
              </w:rPr>
              <w:fldChar w:fldCharType="separate"/>
            </w:r>
            <w:r>
              <w:rPr>
                <w:noProof/>
                <w:webHidden/>
              </w:rPr>
              <w:t>9</w:t>
            </w:r>
            <w:r>
              <w:rPr>
                <w:noProof/>
                <w:webHidden/>
              </w:rPr>
              <w:fldChar w:fldCharType="end"/>
            </w:r>
          </w:hyperlink>
        </w:p>
        <w:p w14:paraId="36AD8370" w14:textId="5028495E" w:rsidR="007C2DE4" w:rsidRDefault="007C2DE4">
          <w:pPr>
            <w:pStyle w:val="TOC2"/>
            <w:tabs>
              <w:tab w:val="right" w:leader="dot" w:pos="9350"/>
            </w:tabs>
            <w:rPr>
              <w:rFonts w:eastAsiaTheme="minorEastAsia"/>
              <w:noProof/>
              <w:kern w:val="2"/>
              <w:sz w:val="24"/>
              <w:szCs w:val="24"/>
              <w14:ligatures w14:val="standardContextual"/>
            </w:rPr>
          </w:pPr>
          <w:hyperlink w:anchor="_Toc206706888" w:history="1">
            <w:r w:rsidRPr="00332117">
              <w:rPr>
                <w:rStyle w:val="Hyperlink"/>
                <w:rFonts w:ascii="Arial" w:hAnsi="Arial" w:cs="Arial"/>
                <w:noProof/>
              </w:rPr>
              <w:t>Threshold for Declaration</w:t>
            </w:r>
            <w:r>
              <w:rPr>
                <w:noProof/>
                <w:webHidden/>
              </w:rPr>
              <w:tab/>
            </w:r>
            <w:r>
              <w:rPr>
                <w:noProof/>
                <w:webHidden/>
              </w:rPr>
              <w:fldChar w:fldCharType="begin"/>
            </w:r>
            <w:r>
              <w:rPr>
                <w:noProof/>
                <w:webHidden/>
              </w:rPr>
              <w:instrText xml:space="preserve"> PAGEREF _Toc206706888 \h </w:instrText>
            </w:r>
            <w:r>
              <w:rPr>
                <w:noProof/>
                <w:webHidden/>
              </w:rPr>
            </w:r>
            <w:r>
              <w:rPr>
                <w:noProof/>
                <w:webHidden/>
              </w:rPr>
              <w:fldChar w:fldCharType="separate"/>
            </w:r>
            <w:r>
              <w:rPr>
                <w:noProof/>
                <w:webHidden/>
              </w:rPr>
              <w:t>9</w:t>
            </w:r>
            <w:r>
              <w:rPr>
                <w:noProof/>
                <w:webHidden/>
              </w:rPr>
              <w:fldChar w:fldCharType="end"/>
            </w:r>
          </w:hyperlink>
        </w:p>
        <w:p w14:paraId="39983734" w14:textId="1674F12C" w:rsidR="007C2DE4" w:rsidRDefault="007C2DE4">
          <w:pPr>
            <w:pStyle w:val="TOC2"/>
            <w:tabs>
              <w:tab w:val="right" w:leader="dot" w:pos="9350"/>
            </w:tabs>
            <w:rPr>
              <w:rFonts w:eastAsiaTheme="minorEastAsia"/>
              <w:noProof/>
              <w:kern w:val="2"/>
              <w:sz w:val="24"/>
              <w:szCs w:val="24"/>
              <w14:ligatures w14:val="standardContextual"/>
            </w:rPr>
          </w:pPr>
          <w:hyperlink w:anchor="_Toc206706889" w:history="1">
            <w:r w:rsidRPr="00332117">
              <w:rPr>
                <w:rStyle w:val="Hyperlink"/>
                <w:rFonts w:ascii="Arial" w:hAnsi="Arial" w:cs="Arial"/>
                <w:noProof/>
              </w:rPr>
              <w:t>Declarations of Impurities</w:t>
            </w:r>
            <w:r>
              <w:rPr>
                <w:noProof/>
                <w:webHidden/>
              </w:rPr>
              <w:tab/>
            </w:r>
            <w:r>
              <w:rPr>
                <w:noProof/>
                <w:webHidden/>
              </w:rPr>
              <w:fldChar w:fldCharType="begin"/>
            </w:r>
            <w:r>
              <w:rPr>
                <w:noProof/>
                <w:webHidden/>
              </w:rPr>
              <w:instrText xml:space="preserve"> PAGEREF _Toc206706889 \h </w:instrText>
            </w:r>
            <w:r>
              <w:rPr>
                <w:noProof/>
                <w:webHidden/>
              </w:rPr>
            </w:r>
            <w:r>
              <w:rPr>
                <w:noProof/>
                <w:webHidden/>
              </w:rPr>
              <w:fldChar w:fldCharType="separate"/>
            </w:r>
            <w:r>
              <w:rPr>
                <w:noProof/>
                <w:webHidden/>
              </w:rPr>
              <w:t>9</w:t>
            </w:r>
            <w:r>
              <w:rPr>
                <w:noProof/>
                <w:webHidden/>
              </w:rPr>
              <w:fldChar w:fldCharType="end"/>
            </w:r>
          </w:hyperlink>
        </w:p>
        <w:p w14:paraId="1F8AA5BA" w14:textId="187090F8" w:rsidR="007C2DE4" w:rsidRDefault="007C2DE4">
          <w:pPr>
            <w:pStyle w:val="TOC2"/>
            <w:tabs>
              <w:tab w:val="right" w:leader="dot" w:pos="9350"/>
            </w:tabs>
            <w:rPr>
              <w:rFonts w:eastAsiaTheme="minorEastAsia"/>
              <w:noProof/>
              <w:kern w:val="2"/>
              <w:sz w:val="24"/>
              <w:szCs w:val="24"/>
              <w14:ligatures w14:val="standardContextual"/>
            </w:rPr>
          </w:pPr>
          <w:hyperlink w:anchor="_Toc206706890" w:history="1">
            <w:r w:rsidRPr="00332117">
              <w:rPr>
                <w:rStyle w:val="Hyperlink"/>
                <w:rFonts w:ascii="Arial" w:hAnsi="Arial" w:cs="Arial"/>
                <w:noProof/>
              </w:rPr>
              <w:t>Calculation of the percent content of substances in materials</w:t>
            </w:r>
            <w:r>
              <w:rPr>
                <w:noProof/>
                <w:webHidden/>
              </w:rPr>
              <w:tab/>
            </w:r>
            <w:r>
              <w:rPr>
                <w:noProof/>
                <w:webHidden/>
              </w:rPr>
              <w:fldChar w:fldCharType="begin"/>
            </w:r>
            <w:r>
              <w:rPr>
                <w:noProof/>
                <w:webHidden/>
              </w:rPr>
              <w:instrText xml:space="preserve"> PAGEREF _Toc206706890 \h </w:instrText>
            </w:r>
            <w:r>
              <w:rPr>
                <w:noProof/>
                <w:webHidden/>
              </w:rPr>
            </w:r>
            <w:r>
              <w:rPr>
                <w:noProof/>
                <w:webHidden/>
              </w:rPr>
              <w:fldChar w:fldCharType="separate"/>
            </w:r>
            <w:r>
              <w:rPr>
                <w:noProof/>
                <w:webHidden/>
              </w:rPr>
              <w:t>9</w:t>
            </w:r>
            <w:r>
              <w:rPr>
                <w:noProof/>
                <w:webHidden/>
              </w:rPr>
              <w:fldChar w:fldCharType="end"/>
            </w:r>
          </w:hyperlink>
        </w:p>
        <w:p w14:paraId="25049043" w14:textId="1E6B83F4" w:rsidR="007C2DE4" w:rsidRDefault="007C2DE4">
          <w:pPr>
            <w:pStyle w:val="TOC2"/>
            <w:tabs>
              <w:tab w:val="right" w:leader="dot" w:pos="9350"/>
            </w:tabs>
            <w:rPr>
              <w:rFonts w:eastAsiaTheme="minorEastAsia"/>
              <w:noProof/>
              <w:kern w:val="2"/>
              <w:sz w:val="24"/>
              <w:szCs w:val="24"/>
              <w14:ligatures w14:val="standardContextual"/>
            </w:rPr>
          </w:pPr>
          <w:hyperlink w:anchor="_Toc206706891" w:history="1">
            <w:r w:rsidRPr="00332117">
              <w:rPr>
                <w:rStyle w:val="Hyperlink"/>
                <w:rFonts w:ascii="Arial" w:hAnsi="Arial" w:cs="Arial"/>
                <w:noProof/>
              </w:rPr>
              <w:t>Definition of Homogeneous Material</w:t>
            </w:r>
            <w:r>
              <w:rPr>
                <w:noProof/>
                <w:webHidden/>
              </w:rPr>
              <w:tab/>
            </w:r>
            <w:r>
              <w:rPr>
                <w:noProof/>
                <w:webHidden/>
              </w:rPr>
              <w:fldChar w:fldCharType="begin"/>
            </w:r>
            <w:r>
              <w:rPr>
                <w:noProof/>
                <w:webHidden/>
              </w:rPr>
              <w:instrText xml:space="preserve"> PAGEREF _Toc206706891 \h </w:instrText>
            </w:r>
            <w:r>
              <w:rPr>
                <w:noProof/>
                <w:webHidden/>
              </w:rPr>
            </w:r>
            <w:r>
              <w:rPr>
                <w:noProof/>
                <w:webHidden/>
              </w:rPr>
              <w:fldChar w:fldCharType="separate"/>
            </w:r>
            <w:r>
              <w:rPr>
                <w:noProof/>
                <w:webHidden/>
              </w:rPr>
              <w:t>9</w:t>
            </w:r>
            <w:r>
              <w:rPr>
                <w:noProof/>
                <w:webHidden/>
              </w:rPr>
              <w:fldChar w:fldCharType="end"/>
            </w:r>
          </w:hyperlink>
        </w:p>
        <w:p w14:paraId="3B1F1CF4" w14:textId="4E4EFB9E" w:rsidR="007C2DE4" w:rsidRDefault="007C2DE4">
          <w:pPr>
            <w:pStyle w:val="TOC2"/>
            <w:tabs>
              <w:tab w:val="right" w:leader="dot" w:pos="9350"/>
            </w:tabs>
            <w:rPr>
              <w:rFonts w:eastAsiaTheme="minorEastAsia"/>
              <w:noProof/>
              <w:kern w:val="2"/>
              <w:sz w:val="24"/>
              <w:szCs w:val="24"/>
              <w14:ligatures w14:val="standardContextual"/>
            </w:rPr>
          </w:pPr>
          <w:hyperlink w:anchor="_Toc206706892" w:history="1">
            <w:r w:rsidRPr="00332117">
              <w:rPr>
                <w:rStyle w:val="Hyperlink"/>
                <w:rFonts w:ascii="Arial" w:hAnsi="Arial" w:cs="Arial"/>
                <w:noProof/>
              </w:rPr>
              <w:t>Dealing with Substances formed in situ in materials (due to reactions in the manufacturing process)</w:t>
            </w:r>
            <w:r>
              <w:rPr>
                <w:noProof/>
                <w:webHidden/>
              </w:rPr>
              <w:tab/>
            </w:r>
            <w:r>
              <w:rPr>
                <w:noProof/>
                <w:webHidden/>
              </w:rPr>
              <w:fldChar w:fldCharType="begin"/>
            </w:r>
            <w:r>
              <w:rPr>
                <w:noProof/>
                <w:webHidden/>
              </w:rPr>
              <w:instrText xml:space="preserve"> PAGEREF _Toc206706892 \h </w:instrText>
            </w:r>
            <w:r>
              <w:rPr>
                <w:noProof/>
                <w:webHidden/>
              </w:rPr>
            </w:r>
            <w:r>
              <w:rPr>
                <w:noProof/>
                <w:webHidden/>
              </w:rPr>
              <w:fldChar w:fldCharType="separate"/>
            </w:r>
            <w:r>
              <w:rPr>
                <w:noProof/>
                <w:webHidden/>
              </w:rPr>
              <w:t>10</w:t>
            </w:r>
            <w:r>
              <w:rPr>
                <w:noProof/>
                <w:webHidden/>
              </w:rPr>
              <w:fldChar w:fldCharType="end"/>
            </w:r>
          </w:hyperlink>
        </w:p>
        <w:p w14:paraId="33A6827A" w14:textId="746F0B8D" w:rsidR="007C2DE4" w:rsidRDefault="007C2DE4">
          <w:pPr>
            <w:pStyle w:val="TOC2"/>
            <w:tabs>
              <w:tab w:val="right" w:leader="dot" w:pos="9350"/>
            </w:tabs>
            <w:rPr>
              <w:rFonts w:eastAsiaTheme="minorEastAsia"/>
              <w:noProof/>
              <w:kern w:val="2"/>
              <w:sz w:val="24"/>
              <w:szCs w:val="24"/>
              <w14:ligatures w14:val="standardContextual"/>
            </w:rPr>
          </w:pPr>
          <w:hyperlink w:anchor="_Toc206706893" w:history="1">
            <w:r w:rsidRPr="00332117">
              <w:rPr>
                <w:rStyle w:val="Hyperlink"/>
                <w:rFonts w:ascii="Arial" w:hAnsi="Arial" w:cs="Arial"/>
                <w:noProof/>
              </w:rPr>
              <w:t>Packaging Materials</w:t>
            </w:r>
            <w:r>
              <w:rPr>
                <w:noProof/>
                <w:webHidden/>
              </w:rPr>
              <w:tab/>
            </w:r>
            <w:r>
              <w:rPr>
                <w:noProof/>
                <w:webHidden/>
              </w:rPr>
              <w:fldChar w:fldCharType="begin"/>
            </w:r>
            <w:r>
              <w:rPr>
                <w:noProof/>
                <w:webHidden/>
              </w:rPr>
              <w:instrText xml:space="preserve"> PAGEREF _Toc206706893 \h </w:instrText>
            </w:r>
            <w:r>
              <w:rPr>
                <w:noProof/>
                <w:webHidden/>
              </w:rPr>
            </w:r>
            <w:r>
              <w:rPr>
                <w:noProof/>
                <w:webHidden/>
              </w:rPr>
              <w:fldChar w:fldCharType="separate"/>
            </w:r>
            <w:r>
              <w:rPr>
                <w:noProof/>
                <w:webHidden/>
              </w:rPr>
              <w:t>10</w:t>
            </w:r>
            <w:r>
              <w:rPr>
                <w:noProof/>
                <w:webHidden/>
              </w:rPr>
              <w:fldChar w:fldCharType="end"/>
            </w:r>
          </w:hyperlink>
        </w:p>
        <w:p w14:paraId="15E840E3" w14:textId="235E7FD8" w:rsidR="007C2DE4" w:rsidRDefault="007C2DE4">
          <w:pPr>
            <w:pStyle w:val="TOC1"/>
            <w:tabs>
              <w:tab w:val="right" w:leader="dot" w:pos="9350"/>
            </w:tabs>
            <w:rPr>
              <w:rFonts w:eastAsiaTheme="minorEastAsia"/>
              <w:noProof/>
              <w:kern w:val="2"/>
              <w:sz w:val="24"/>
              <w:szCs w:val="24"/>
              <w14:ligatures w14:val="standardContextual"/>
            </w:rPr>
          </w:pPr>
          <w:hyperlink w:anchor="_Toc206706894" w:history="1">
            <w:r w:rsidRPr="00332117">
              <w:rPr>
                <w:rStyle w:val="Hyperlink"/>
                <w:b/>
                <w:bCs/>
                <w:noProof/>
              </w:rPr>
              <w:t>HEDSL Nomenclature</w:t>
            </w:r>
            <w:r>
              <w:rPr>
                <w:noProof/>
                <w:webHidden/>
              </w:rPr>
              <w:tab/>
            </w:r>
            <w:r>
              <w:rPr>
                <w:noProof/>
                <w:webHidden/>
              </w:rPr>
              <w:fldChar w:fldCharType="begin"/>
            </w:r>
            <w:r>
              <w:rPr>
                <w:noProof/>
                <w:webHidden/>
              </w:rPr>
              <w:instrText xml:space="preserve"> PAGEREF _Toc206706894 \h </w:instrText>
            </w:r>
            <w:r>
              <w:rPr>
                <w:noProof/>
                <w:webHidden/>
              </w:rPr>
            </w:r>
            <w:r>
              <w:rPr>
                <w:noProof/>
                <w:webHidden/>
              </w:rPr>
              <w:fldChar w:fldCharType="separate"/>
            </w:r>
            <w:r>
              <w:rPr>
                <w:noProof/>
                <w:webHidden/>
              </w:rPr>
              <w:t>10</w:t>
            </w:r>
            <w:r>
              <w:rPr>
                <w:noProof/>
                <w:webHidden/>
              </w:rPr>
              <w:fldChar w:fldCharType="end"/>
            </w:r>
          </w:hyperlink>
        </w:p>
        <w:p w14:paraId="67A5E6A0" w14:textId="0A0E11A5" w:rsidR="003200D4" w:rsidRDefault="003200D4">
          <w:r>
            <w:rPr>
              <w:b/>
              <w:bCs/>
              <w:noProof/>
            </w:rPr>
            <w:fldChar w:fldCharType="end"/>
          </w:r>
        </w:p>
      </w:sdtContent>
    </w:sdt>
    <w:p w14:paraId="682D72C8" w14:textId="5B07DFA9" w:rsidR="003200D4" w:rsidRPr="003200D4" w:rsidRDefault="003200D4" w:rsidP="003200D4">
      <w:r>
        <w:br w:type="page"/>
      </w:r>
    </w:p>
    <w:p w14:paraId="64A73720" w14:textId="267A314F" w:rsidR="001768DE" w:rsidRPr="007C2DE4" w:rsidRDefault="00AB3E46" w:rsidP="00744A97">
      <w:pPr>
        <w:pStyle w:val="Heading1"/>
        <w:spacing w:before="0" w:line="240" w:lineRule="auto"/>
        <w:rPr>
          <w:rFonts w:ascii="Arial" w:hAnsi="Arial" w:cs="Arial"/>
        </w:rPr>
      </w:pPr>
      <w:bookmarkStart w:id="1" w:name="_Toc206706870"/>
      <w:r w:rsidRPr="007C2DE4">
        <w:rPr>
          <w:rFonts w:ascii="Arial" w:hAnsi="Arial" w:cs="Arial"/>
        </w:rPr>
        <w:lastRenderedPageBreak/>
        <w:t xml:space="preserve">Purpose of </w:t>
      </w:r>
      <w:r w:rsidR="00353826" w:rsidRPr="007C2DE4">
        <w:rPr>
          <w:rFonts w:ascii="Arial" w:hAnsi="Arial" w:cs="Arial"/>
        </w:rPr>
        <w:t>This SOP</w:t>
      </w:r>
      <w:r w:rsidRPr="007C2DE4">
        <w:rPr>
          <w:rFonts w:ascii="Arial" w:hAnsi="Arial" w:cs="Arial"/>
        </w:rPr>
        <w:t>:</w:t>
      </w:r>
      <w:bookmarkEnd w:id="1"/>
      <w:r w:rsidRPr="007C2DE4">
        <w:rPr>
          <w:rFonts w:ascii="Arial" w:hAnsi="Arial" w:cs="Arial"/>
        </w:rPr>
        <w:t xml:space="preserve"> </w:t>
      </w:r>
    </w:p>
    <w:p w14:paraId="225E4E03" w14:textId="77777777" w:rsidR="00744A97" w:rsidRPr="007C2DE4" w:rsidRDefault="00744A97" w:rsidP="00744A97">
      <w:pPr>
        <w:spacing w:after="0" w:line="240" w:lineRule="auto"/>
        <w:rPr>
          <w:rFonts w:ascii="Arial" w:hAnsi="Arial" w:cs="Arial"/>
        </w:rPr>
      </w:pPr>
    </w:p>
    <w:p w14:paraId="6BA5642B" w14:textId="7C791C59" w:rsidR="00744A97" w:rsidRPr="00E531FB" w:rsidRDefault="00744A97" w:rsidP="00744A97">
      <w:pPr>
        <w:pStyle w:val="NormalText"/>
      </w:pPr>
      <w:r w:rsidRPr="007C2DE4">
        <w:rPr>
          <w:rStyle w:val="NormalTextChar"/>
        </w:rPr>
        <w:t>Th</w:t>
      </w:r>
      <w:r w:rsidR="00353826" w:rsidRPr="007C2DE4">
        <w:rPr>
          <w:rStyle w:val="NormalTextChar"/>
        </w:rPr>
        <w:t>is</w:t>
      </w:r>
      <w:r w:rsidRPr="007C2DE4">
        <w:rPr>
          <w:rStyle w:val="NormalTextChar"/>
        </w:rPr>
        <w:t xml:space="preserve"> HEDSL </w:t>
      </w:r>
      <w:r w:rsidR="00353826" w:rsidRPr="007C2DE4">
        <w:rPr>
          <w:rStyle w:val="NormalTextChar"/>
        </w:rPr>
        <w:t xml:space="preserve">review SOP </w:t>
      </w:r>
      <w:r w:rsidRPr="007C2DE4">
        <w:rPr>
          <w:rStyle w:val="NormalTextChar"/>
        </w:rPr>
        <w:t xml:space="preserve">provides the </w:t>
      </w:r>
      <w:r w:rsidR="00353826" w:rsidRPr="007C2DE4">
        <w:rPr>
          <w:rStyle w:val="NormalTextChar"/>
        </w:rPr>
        <w:t>HEDSL committee with a common process and operating standard to conduct the annual HEDSL review.</w:t>
      </w:r>
      <w:r w:rsidRPr="00E531FB">
        <w:t xml:space="preserve"> </w:t>
      </w:r>
    </w:p>
    <w:p w14:paraId="6A6814BD" w14:textId="77777777" w:rsidR="00EC5DD1" w:rsidRPr="00E531FB" w:rsidRDefault="00EC5DD1" w:rsidP="00EC5DD1">
      <w:pPr>
        <w:pStyle w:val="NormalText"/>
        <w:rPr>
          <w:b/>
          <w:bCs/>
          <w:u w:val="single"/>
        </w:rPr>
      </w:pPr>
    </w:p>
    <w:p w14:paraId="64BC471B" w14:textId="275CCC28" w:rsidR="000F3835" w:rsidRPr="00E531FB" w:rsidRDefault="000F3835" w:rsidP="001768DE">
      <w:pPr>
        <w:pStyle w:val="Heading1"/>
        <w:rPr>
          <w:rFonts w:ascii="Arial" w:hAnsi="Arial" w:cs="Arial"/>
        </w:rPr>
      </w:pPr>
      <w:bookmarkStart w:id="2" w:name="_Toc206706871"/>
      <w:r w:rsidRPr="00E531FB">
        <w:rPr>
          <w:rFonts w:ascii="Arial" w:hAnsi="Arial" w:cs="Arial"/>
        </w:rPr>
        <w:t>Glossary of Terms/Definitions</w:t>
      </w:r>
      <w:r w:rsidR="001768DE" w:rsidRPr="00E531FB">
        <w:rPr>
          <w:rFonts w:ascii="Arial" w:hAnsi="Arial" w:cs="Arial"/>
        </w:rPr>
        <w:t>:</w:t>
      </w:r>
      <w:bookmarkEnd w:id="2"/>
      <w:r w:rsidR="00FF1814" w:rsidRPr="00E531FB">
        <w:rPr>
          <w:rFonts w:ascii="Arial" w:hAnsi="Arial" w:cs="Arial"/>
        </w:rPr>
        <w:t xml:space="preserve"> </w:t>
      </w:r>
    </w:p>
    <w:p w14:paraId="07F1A03F" w14:textId="48EEEFD2" w:rsidR="000F3835" w:rsidRPr="00E531FB" w:rsidRDefault="000F3835" w:rsidP="000F3835">
      <w:pPr>
        <w:pStyle w:val="NormalText"/>
        <w:rPr>
          <w:b/>
          <w:bCs/>
          <w:u w:val="single"/>
        </w:rPr>
      </w:pPr>
    </w:p>
    <w:p w14:paraId="315A2F0B" w14:textId="60BCF4EA" w:rsidR="00186E66" w:rsidRDefault="00301261" w:rsidP="00186E66">
      <w:pPr>
        <w:pStyle w:val="NormalText"/>
        <w:ind w:left="4320" w:hanging="4320"/>
        <w:rPr>
          <w:color w:val="040C28"/>
        </w:rPr>
      </w:pPr>
      <w:r w:rsidRPr="00E531FB">
        <w:t>Article</w:t>
      </w:r>
      <w:r w:rsidRPr="00E531FB">
        <w:tab/>
      </w:r>
      <w:r w:rsidR="00F52267">
        <w:t>A</w:t>
      </w:r>
      <w:r w:rsidR="00F52267" w:rsidRPr="00F52267">
        <w:t xml:space="preserve">n object which during production is given a special shape, surface or </w:t>
      </w:r>
      <w:proofErr w:type="gramStart"/>
      <w:r w:rsidR="00F52267" w:rsidRPr="00F52267">
        <w:t>design which</w:t>
      </w:r>
      <w:proofErr w:type="gramEnd"/>
      <w:r w:rsidR="00F52267" w:rsidRPr="00F52267">
        <w:t xml:space="preserve"> determines its function to a greater degree </w:t>
      </w:r>
      <w:proofErr w:type="gramStart"/>
      <w:r w:rsidR="00F52267" w:rsidRPr="00F52267">
        <w:t>than does</w:t>
      </w:r>
      <w:proofErr w:type="gramEnd"/>
      <w:r w:rsidR="00F52267" w:rsidRPr="00F52267">
        <w:t xml:space="preserve"> its chemical composition.</w:t>
      </w:r>
      <w:r w:rsidR="00F52267">
        <w:rPr>
          <w:rStyle w:val="FootnoteReference"/>
        </w:rPr>
        <w:footnoteReference w:id="1"/>
      </w:r>
    </w:p>
    <w:p w14:paraId="3678277B" w14:textId="77777777" w:rsidR="00F52267" w:rsidRPr="00E531FB" w:rsidRDefault="00F52267" w:rsidP="00186E66">
      <w:pPr>
        <w:pStyle w:val="NormalText"/>
        <w:ind w:left="4320" w:hanging="4320"/>
      </w:pPr>
    </w:p>
    <w:p w14:paraId="6BCB990D" w14:textId="7B8F644B" w:rsidR="00186E66" w:rsidRPr="00E531FB" w:rsidRDefault="00186E66" w:rsidP="00186E66">
      <w:pPr>
        <w:pStyle w:val="NormalText"/>
        <w:ind w:left="4320" w:hanging="4320"/>
      </w:pPr>
      <w:r w:rsidRPr="00E531FB">
        <w:t xml:space="preserve">Component </w:t>
      </w:r>
      <w:r w:rsidRPr="00E531FB">
        <w:tab/>
        <w:t xml:space="preserve">An element of a part that has a defined weight and </w:t>
      </w:r>
      <w:r w:rsidR="00F52267" w:rsidRPr="00E531FB">
        <w:t>shape.</w:t>
      </w:r>
      <w:r w:rsidRPr="00E531FB">
        <w:t xml:space="preserve">  </w:t>
      </w:r>
    </w:p>
    <w:p w14:paraId="158F064A" w14:textId="2AF102B3" w:rsidR="00FF174D" w:rsidRPr="00E531FB" w:rsidRDefault="00FF174D" w:rsidP="00FF174D">
      <w:pPr>
        <w:pStyle w:val="NormalText"/>
        <w:ind w:left="4320" w:hanging="4320"/>
      </w:pPr>
    </w:p>
    <w:p w14:paraId="7B01613E" w14:textId="782C877A" w:rsidR="00FF174D" w:rsidRPr="00E531FB" w:rsidRDefault="00FF174D" w:rsidP="00FF174D">
      <w:pPr>
        <w:pStyle w:val="NormalText"/>
        <w:ind w:left="4320" w:hanging="4320"/>
      </w:pPr>
      <w:r w:rsidRPr="00E531FB">
        <w:t>Declarable Substance List (DSL)</w:t>
      </w:r>
      <w:r w:rsidRPr="00E531FB">
        <w:tab/>
      </w:r>
      <w:r w:rsidR="00186E66" w:rsidRPr="00E531FB">
        <w:t>A consolidated list of chemicals and/or substances that are regulated</w:t>
      </w:r>
      <w:r w:rsidR="00244D57">
        <w:t xml:space="preserve">, </w:t>
      </w:r>
      <w:r w:rsidR="00186E66" w:rsidRPr="00E531FB">
        <w:t>under review, or possess elevated risk characteristics for industry. Chemicals and/or substances listed on a DSL are required to be disclosed if they are present in a product, component, or part above the required thresholds.</w:t>
      </w:r>
    </w:p>
    <w:p w14:paraId="417CEE53" w14:textId="77777777" w:rsidR="00637581" w:rsidRPr="00E531FB" w:rsidRDefault="00637581" w:rsidP="00FF174D">
      <w:pPr>
        <w:pStyle w:val="NormalText"/>
        <w:ind w:left="4320" w:hanging="4320"/>
      </w:pPr>
    </w:p>
    <w:p w14:paraId="0BB552D5" w14:textId="16C20969" w:rsidR="00637581" w:rsidRPr="00E531FB" w:rsidRDefault="00637581" w:rsidP="00FF174D">
      <w:pPr>
        <w:pStyle w:val="NormalText"/>
        <w:ind w:left="4320" w:hanging="4320"/>
      </w:pPr>
      <w:r w:rsidRPr="00E531FB">
        <w:t>Global Automotive DSL</w:t>
      </w:r>
      <w:r w:rsidRPr="00E531FB">
        <w:tab/>
        <w:t xml:space="preserve">GADSL is the DSL for the automotive </w:t>
      </w:r>
      <w:r w:rsidR="00F52267" w:rsidRPr="00E531FB">
        <w:t>industry.</w:t>
      </w:r>
    </w:p>
    <w:p w14:paraId="0B259F35" w14:textId="3D595D04" w:rsidR="00E21C37" w:rsidRPr="00E531FB" w:rsidRDefault="00E21C37" w:rsidP="00FF174D">
      <w:pPr>
        <w:pStyle w:val="NormalText"/>
        <w:ind w:left="4320" w:hanging="4320"/>
      </w:pPr>
    </w:p>
    <w:p w14:paraId="2852351A" w14:textId="1ED0064F" w:rsidR="00E21C37" w:rsidRPr="00E531FB" w:rsidRDefault="00E21C37" w:rsidP="00FF174D">
      <w:pPr>
        <w:pStyle w:val="NormalText"/>
        <w:ind w:left="4320" w:hanging="4320"/>
      </w:pPr>
      <w:r w:rsidRPr="00E531FB">
        <w:t>Global Automotive Stakeholders Group</w:t>
      </w:r>
      <w:r w:rsidRPr="00E531FB">
        <w:tab/>
      </w:r>
      <w:proofErr w:type="gramStart"/>
      <w:r w:rsidRPr="00E531FB">
        <w:t>The</w:t>
      </w:r>
      <w:proofErr w:type="gramEnd"/>
      <w:r w:rsidRPr="00E531FB">
        <w:t xml:space="preserve"> GASG committees oversee the review of the GADSL list. Their purpose is to facilitate </w:t>
      </w:r>
      <w:proofErr w:type="gramStart"/>
      <w:r w:rsidRPr="00E531FB">
        <w:t>communications</w:t>
      </w:r>
      <w:proofErr w:type="gramEnd"/>
      <w:r w:rsidRPr="00E531FB">
        <w:t xml:space="preserve"> and exchange information regarding the use of certain substances in the automotive supply chain.</w:t>
      </w:r>
    </w:p>
    <w:p w14:paraId="5A70DC98" w14:textId="77777777" w:rsidR="00186E66" w:rsidRPr="00E531FB" w:rsidRDefault="00186E66" w:rsidP="00FF174D">
      <w:pPr>
        <w:pStyle w:val="NormalText"/>
        <w:ind w:left="4320" w:hanging="4320"/>
      </w:pPr>
    </w:p>
    <w:p w14:paraId="4D1B08E2" w14:textId="22C2D9B6" w:rsidR="007C0927" w:rsidRPr="00E531FB" w:rsidRDefault="00186E66" w:rsidP="00FF174D">
      <w:pPr>
        <w:pStyle w:val="NormalText"/>
        <w:ind w:left="4320" w:hanging="4320"/>
      </w:pPr>
      <w:r w:rsidRPr="00E531FB">
        <w:t>Heavy Equipment DSL (HEDSL)</w:t>
      </w:r>
      <w:r w:rsidRPr="00E531FB">
        <w:tab/>
        <w:t>The declarable substance list for the off-road equipment manufacturing sec</w:t>
      </w:r>
      <w:r w:rsidR="007C0927" w:rsidRPr="00E531FB">
        <w:t>t</w:t>
      </w:r>
      <w:r w:rsidRPr="00E531FB">
        <w:t>or, which includes</w:t>
      </w:r>
      <w:r w:rsidR="007C0927" w:rsidRPr="00E531FB">
        <w:t xml:space="preserve"> equipment in the construction, agricultural, mining, </w:t>
      </w:r>
      <w:r w:rsidR="009F5C1C" w:rsidRPr="00E531FB">
        <w:t>forestry,</w:t>
      </w:r>
      <w:r w:rsidR="007C0927" w:rsidRPr="00E531FB">
        <w:t xml:space="preserve"> and utility sectors.</w:t>
      </w:r>
    </w:p>
    <w:p w14:paraId="768DF97C" w14:textId="51A8A050" w:rsidR="00186E66" w:rsidRPr="00E531FB" w:rsidRDefault="00186E66" w:rsidP="00FF174D">
      <w:pPr>
        <w:pStyle w:val="NormalText"/>
        <w:ind w:left="4320" w:hanging="4320"/>
      </w:pPr>
      <w:r w:rsidRPr="00E531FB">
        <w:tab/>
      </w:r>
    </w:p>
    <w:p w14:paraId="40D7977C" w14:textId="6BE36591" w:rsidR="009F5C1C" w:rsidRDefault="009F5C1C" w:rsidP="00186E66">
      <w:pPr>
        <w:pStyle w:val="NormalText"/>
        <w:ind w:left="4320" w:hanging="4320"/>
      </w:pPr>
      <w:r>
        <w:t>Non-Road Equipment</w:t>
      </w:r>
      <w:r>
        <w:tab/>
      </w:r>
      <w:r w:rsidR="009036B6">
        <w:t>Machines</w:t>
      </w:r>
      <w:r>
        <w:t xml:space="preserve"> used in the construction, agricultural, mining, forestry, </w:t>
      </w:r>
      <w:r w:rsidR="00244D57">
        <w:t xml:space="preserve">and </w:t>
      </w:r>
      <w:r>
        <w:t xml:space="preserve">utility sectors, as well as any AEM member company’s product portfolios. </w:t>
      </w:r>
    </w:p>
    <w:p w14:paraId="6D741C42" w14:textId="77777777" w:rsidR="009F5C1C" w:rsidRDefault="009F5C1C" w:rsidP="00186E66">
      <w:pPr>
        <w:pStyle w:val="NormalText"/>
        <w:ind w:left="4320" w:hanging="4320"/>
      </w:pPr>
    </w:p>
    <w:p w14:paraId="73CA66CB" w14:textId="1C6E3A62" w:rsidR="00186E66" w:rsidRPr="00E531FB" w:rsidRDefault="00186E66" w:rsidP="00186E66">
      <w:pPr>
        <w:pStyle w:val="NormalText"/>
        <w:ind w:left="4320" w:hanging="4320"/>
      </w:pPr>
      <w:r w:rsidRPr="00E531FB">
        <w:t xml:space="preserve">Materials </w:t>
      </w:r>
      <w:r w:rsidRPr="00E531FB">
        <w:tab/>
        <w:t xml:space="preserve">Chemical elements, chemical </w:t>
      </w:r>
      <w:r w:rsidR="009036B6" w:rsidRPr="00E531FB">
        <w:t>compounds,</w:t>
      </w:r>
      <w:r w:rsidRPr="00E531FB">
        <w:t xml:space="preserve"> or preparations thereof in finished state used to manufacture products/</w:t>
      </w:r>
      <w:r w:rsidR="00176A48" w:rsidRPr="00E531FB">
        <w:t>articles.</w:t>
      </w:r>
      <w:r w:rsidRPr="00E531FB">
        <w:t xml:space="preserve">  </w:t>
      </w:r>
    </w:p>
    <w:p w14:paraId="1846EC36" w14:textId="77777777" w:rsidR="00186E66" w:rsidRPr="00E531FB" w:rsidRDefault="00186E66" w:rsidP="00186E66">
      <w:pPr>
        <w:pStyle w:val="NormalText"/>
        <w:ind w:left="4320" w:hanging="4320"/>
      </w:pPr>
    </w:p>
    <w:p w14:paraId="0B3C9B2F" w14:textId="63729DFB" w:rsidR="00186E66" w:rsidRPr="00E531FB" w:rsidRDefault="00186E66" w:rsidP="00186E66">
      <w:pPr>
        <w:pStyle w:val="NormalText"/>
        <w:ind w:left="4320" w:hanging="4320"/>
      </w:pPr>
      <w:r w:rsidRPr="00E531FB">
        <w:t xml:space="preserve">Parts </w:t>
      </w:r>
      <w:r w:rsidRPr="00E531FB">
        <w:tab/>
        <w:t>A manufactured object made up of one or more homogeneous material(s)</w:t>
      </w:r>
    </w:p>
    <w:p w14:paraId="7A431DA7" w14:textId="77777777" w:rsidR="00FF1814" w:rsidRPr="00E531FB" w:rsidRDefault="00FF1814" w:rsidP="00FF174D">
      <w:pPr>
        <w:pStyle w:val="NormalText"/>
        <w:ind w:left="4320" w:hanging="4320"/>
      </w:pPr>
    </w:p>
    <w:p w14:paraId="281021E5" w14:textId="1900A25B" w:rsidR="00FF1814" w:rsidRPr="00E531FB" w:rsidRDefault="00FF1814" w:rsidP="00FF174D">
      <w:pPr>
        <w:pStyle w:val="NormalText"/>
        <w:ind w:left="4320" w:hanging="4320"/>
      </w:pPr>
      <w:r w:rsidRPr="00E531FB">
        <w:t xml:space="preserve">Preparations </w:t>
      </w:r>
      <w:r w:rsidRPr="00E531FB">
        <w:tab/>
        <w:t xml:space="preserve">Mixtures, composed of two or more </w:t>
      </w:r>
      <w:r w:rsidR="00BD0BAF" w:rsidRPr="00E531FB">
        <w:t>substances.</w:t>
      </w:r>
      <w:r w:rsidRPr="00E531FB">
        <w:t xml:space="preserve">  </w:t>
      </w:r>
    </w:p>
    <w:p w14:paraId="1CF60119" w14:textId="77777777" w:rsidR="00FF1814" w:rsidRPr="00E531FB" w:rsidRDefault="00FF1814" w:rsidP="00186E66">
      <w:pPr>
        <w:pStyle w:val="NormalText"/>
      </w:pPr>
    </w:p>
    <w:p w14:paraId="7E817B01" w14:textId="1293B048" w:rsidR="00FF1814" w:rsidRPr="00E531FB" w:rsidRDefault="00FF1814" w:rsidP="00FF174D">
      <w:pPr>
        <w:pStyle w:val="NormalText"/>
        <w:ind w:left="4320" w:hanging="4320"/>
      </w:pPr>
      <w:r w:rsidRPr="00E531FB">
        <w:t>Products</w:t>
      </w:r>
      <w:r w:rsidRPr="00E531FB">
        <w:tab/>
        <w:t xml:space="preserve">Materials which have been transformed during production to take a specific shape, surface or form which has a greater influence on their function than their chemical composition </w:t>
      </w:r>
      <w:r w:rsidR="00BD0BAF" w:rsidRPr="00E531FB">
        <w:t>does.</w:t>
      </w:r>
      <w:r w:rsidRPr="00E531FB">
        <w:t xml:space="preserve">  </w:t>
      </w:r>
    </w:p>
    <w:p w14:paraId="0FC43AC0" w14:textId="77777777" w:rsidR="00186E66" w:rsidRPr="00E531FB" w:rsidRDefault="00186E66" w:rsidP="00186E66">
      <w:pPr>
        <w:pStyle w:val="NormalText"/>
      </w:pPr>
    </w:p>
    <w:p w14:paraId="760E9B55" w14:textId="77777777" w:rsidR="00186E66" w:rsidRDefault="00186E66" w:rsidP="00186E66">
      <w:pPr>
        <w:pStyle w:val="NormalText"/>
        <w:ind w:left="4320" w:hanging="4320"/>
      </w:pPr>
      <w:r w:rsidRPr="00E531FB">
        <w:t xml:space="preserve">Substances </w:t>
      </w:r>
      <w:r w:rsidRPr="00E531FB">
        <w:tab/>
        <w:t xml:space="preserve">Chemical elements or chemical compounds as parts of materials or preparations  </w:t>
      </w:r>
    </w:p>
    <w:p w14:paraId="735BE041" w14:textId="77777777" w:rsidR="00244D57" w:rsidRDefault="00244D57" w:rsidP="00186E66">
      <w:pPr>
        <w:pStyle w:val="NormalText"/>
        <w:ind w:left="4320" w:hanging="4320"/>
      </w:pPr>
    </w:p>
    <w:p w14:paraId="597E5291" w14:textId="1EF0FC2D" w:rsidR="00244D57" w:rsidRPr="00E531FB" w:rsidRDefault="00B065BC" w:rsidP="00186E66">
      <w:pPr>
        <w:pStyle w:val="NormalText"/>
        <w:ind w:left="4320" w:hanging="4320"/>
      </w:pPr>
      <w:r>
        <w:t>Supply</w:t>
      </w:r>
      <w:r w:rsidR="00244D57">
        <w:t xml:space="preserve"> Chain</w:t>
      </w:r>
      <w:r w:rsidR="00244D57">
        <w:tab/>
        <w:t>Upstream</w:t>
      </w:r>
      <w:r>
        <w:t xml:space="preserve"> manufacturers of</w:t>
      </w:r>
      <w:r w:rsidR="00244D57">
        <w:t xml:space="preserve"> component</w:t>
      </w:r>
      <w:r>
        <w:t>s</w:t>
      </w:r>
      <w:r w:rsidR="00244D57">
        <w:t xml:space="preserve">, </w:t>
      </w:r>
      <w:r w:rsidR="00BD0BAF">
        <w:t>materials,</w:t>
      </w:r>
      <w:r w:rsidR="00244D57">
        <w:t xml:space="preserve"> and parts</w:t>
      </w:r>
      <w:r>
        <w:t>.</w:t>
      </w:r>
      <w:r w:rsidR="00244D57">
        <w:t xml:space="preserve"> </w:t>
      </w:r>
    </w:p>
    <w:p w14:paraId="6724F47D" w14:textId="77777777" w:rsidR="00186E66" w:rsidRPr="00E531FB" w:rsidRDefault="00186E66" w:rsidP="00FF174D">
      <w:pPr>
        <w:pStyle w:val="NormalText"/>
        <w:ind w:left="4320" w:hanging="4320"/>
      </w:pPr>
    </w:p>
    <w:p w14:paraId="57542208" w14:textId="294A45DB" w:rsidR="001768DE" w:rsidRPr="00E531FB" w:rsidRDefault="001768DE" w:rsidP="001768DE">
      <w:pPr>
        <w:pStyle w:val="Heading1"/>
        <w:rPr>
          <w:rFonts w:ascii="Arial" w:hAnsi="Arial" w:cs="Arial"/>
        </w:rPr>
      </w:pPr>
      <w:bookmarkStart w:id="3" w:name="_Toc206706872"/>
      <w:r w:rsidRPr="00E531FB">
        <w:rPr>
          <w:rFonts w:ascii="Arial" w:hAnsi="Arial" w:cs="Arial"/>
        </w:rPr>
        <w:t>Criteria for Declarable Substance List:</w:t>
      </w:r>
      <w:bookmarkEnd w:id="3"/>
    </w:p>
    <w:p w14:paraId="2166B1C3" w14:textId="7C1C1CDF" w:rsidR="001768DE" w:rsidRPr="00E531FB" w:rsidRDefault="001768DE" w:rsidP="001768DE">
      <w:pPr>
        <w:pStyle w:val="NormalText"/>
        <w:ind w:left="1080"/>
        <w:rPr>
          <w:b/>
          <w:bCs/>
          <w:u w:val="single"/>
        </w:rPr>
      </w:pPr>
    </w:p>
    <w:p w14:paraId="5D8C9171" w14:textId="0DD6F2BB" w:rsidR="001768DE" w:rsidRPr="00E531FB" w:rsidRDefault="001768DE" w:rsidP="001768DE">
      <w:pPr>
        <w:pStyle w:val="NormalText"/>
      </w:pPr>
      <w:r w:rsidRPr="00E531FB">
        <w:t xml:space="preserve">The final decision to determine </w:t>
      </w:r>
      <w:proofErr w:type="gramStart"/>
      <w:r w:rsidRPr="00E531FB">
        <w:t>if</w:t>
      </w:r>
      <w:proofErr w:type="gramEnd"/>
      <w:r w:rsidRPr="00E531FB">
        <w:t xml:space="preserve"> a substance should be included on the HEDSL should be based on the following </w:t>
      </w:r>
      <w:r w:rsidR="00BD0BAF">
        <w:t>c</w:t>
      </w:r>
      <w:r w:rsidRPr="00E531FB">
        <w:t>riteria:</w:t>
      </w:r>
    </w:p>
    <w:p w14:paraId="76A0DD0A" w14:textId="144CAF96" w:rsidR="001768DE" w:rsidRPr="00E531FB" w:rsidRDefault="001768DE" w:rsidP="001768DE">
      <w:pPr>
        <w:pStyle w:val="NormalText"/>
      </w:pPr>
    </w:p>
    <w:p w14:paraId="5CF8D725" w14:textId="5C7735D0" w:rsidR="001768DE" w:rsidRPr="00E531FB" w:rsidRDefault="001768DE" w:rsidP="001768DE">
      <w:pPr>
        <w:pStyle w:val="NormalText"/>
        <w:numPr>
          <w:ilvl w:val="1"/>
          <w:numId w:val="1"/>
        </w:numPr>
        <w:ind w:left="720"/>
      </w:pPr>
      <w:r w:rsidRPr="00E531FB">
        <w:t xml:space="preserve">The substance should be expected to be present in </w:t>
      </w:r>
      <w:proofErr w:type="gramStart"/>
      <w:r w:rsidRPr="00E531FB">
        <w:t>a material</w:t>
      </w:r>
      <w:proofErr w:type="gramEnd"/>
      <w:r w:rsidRPr="00E531FB">
        <w:t xml:space="preserve">, </w:t>
      </w:r>
      <w:r w:rsidR="00BD0BAF" w:rsidRPr="00E531FB">
        <w:t>part,</w:t>
      </w:r>
      <w:r w:rsidRPr="00E531FB">
        <w:t xml:space="preserve"> or component in the equipment, and:</w:t>
      </w:r>
    </w:p>
    <w:p w14:paraId="6672667A" w14:textId="0EB0E390" w:rsidR="001768DE" w:rsidRPr="00E531FB" w:rsidRDefault="001768DE" w:rsidP="001768DE">
      <w:pPr>
        <w:pStyle w:val="NormalText"/>
        <w:numPr>
          <w:ilvl w:val="2"/>
          <w:numId w:val="1"/>
        </w:numPr>
        <w:ind w:left="1440"/>
      </w:pPr>
      <w:r w:rsidRPr="00E531FB">
        <w:t xml:space="preserve">Is a regulated substance, </w:t>
      </w:r>
    </w:p>
    <w:p w14:paraId="5BCFD743" w14:textId="56EC14FE" w:rsidR="001768DE" w:rsidRPr="00E531FB" w:rsidRDefault="001768DE" w:rsidP="001768DE">
      <w:pPr>
        <w:pStyle w:val="NormalText"/>
        <w:numPr>
          <w:ilvl w:val="2"/>
          <w:numId w:val="1"/>
        </w:numPr>
        <w:ind w:left="1440"/>
      </w:pPr>
      <w:proofErr w:type="gramStart"/>
      <w:r w:rsidRPr="00E531FB">
        <w:t>Is</w:t>
      </w:r>
      <w:proofErr w:type="gramEnd"/>
      <w:r w:rsidRPr="00E531FB">
        <w:t xml:space="preserve"> projected to be a regulated substance </w:t>
      </w:r>
      <w:proofErr w:type="gramStart"/>
      <w:r w:rsidRPr="00E531FB">
        <w:t>in the near future</w:t>
      </w:r>
      <w:proofErr w:type="gramEnd"/>
      <w:r w:rsidRPr="00E531FB">
        <w:t>, or</w:t>
      </w:r>
    </w:p>
    <w:p w14:paraId="39EE33F5" w14:textId="51053992" w:rsidR="001768DE" w:rsidRPr="00E531FB" w:rsidRDefault="001768DE" w:rsidP="001768DE">
      <w:pPr>
        <w:pStyle w:val="NormalText"/>
        <w:numPr>
          <w:ilvl w:val="2"/>
          <w:numId w:val="1"/>
        </w:numPr>
        <w:ind w:left="1440"/>
      </w:pPr>
      <w:r w:rsidRPr="00E531FB">
        <w:t xml:space="preserve">Could be considered a significant hazard by the members of the </w:t>
      </w:r>
      <w:r w:rsidR="00C704C1" w:rsidRPr="00E531FB">
        <w:t>HE</w:t>
      </w:r>
      <w:r w:rsidRPr="00E531FB">
        <w:t xml:space="preserve">DSL </w:t>
      </w:r>
      <w:r w:rsidR="00BD0BAF" w:rsidRPr="00E531FB">
        <w:t>committee.</w:t>
      </w:r>
      <w:r w:rsidRPr="00E531FB">
        <w:t xml:space="preserve"> </w:t>
      </w:r>
    </w:p>
    <w:p w14:paraId="06227229" w14:textId="7A50EF06" w:rsidR="001768DE" w:rsidRPr="00E531FB" w:rsidRDefault="001768DE" w:rsidP="001768DE">
      <w:pPr>
        <w:pStyle w:val="NormalText"/>
        <w:numPr>
          <w:ilvl w:val="1"/>
          <w:numId w:val="1"/>
        </w:numPr>
        <w:ind w:left="720"/>
      </w:pPr>
      <w:r w:rsidRPr="00E531FB">
        <w:t xml:space="preserve">Reportable thresholds will be based on the lowest level required by the relevant </w:t>
      </w:r>
      <w:r w:rsidR="00BD0BAF" w:rsidRPr="00E531FB">
        <w:t>regulation.</w:t>
      </w:r>
    </w:p>
    <w:p w14:paraId="66B176DD" w14:textId="77777777" w:rsidR="001768DE" w:rsidRPr="00E531FB" w:rsidRDefault="001768DE" w:rsidP="001768DE">
      <w:pPr>
        <w:pStyle w:val="NormalText"/>
        <w:ind w:left="1800"/>
      </w:pPr>
    </w:p>
    <w:p w14:paraId="4BA10A7C" w14:textId="4129E183" w:rsidR="001768DE" w:rsidRPr="00E531FB" w:rsidRDefault="001768DE" w:rsidP="00E962FE">
      <w:pPr>
        <w:pStyle w:val="Heading2"/>
        <w:rPr>
          <w:rFonts w:ascii="Arial" w:hAnsi="Arial" w:cs="Arial"/>
        </w:rPr>
      </w:pPr>
      <w:bookmarkStart w:id="4" w:name="_Toc206706873"/>
      <w:r w:rsidRPr="00E531FB">
        <w:rPr>
          <w:rFonts w:ascii="Arial" w:hAnsi="Arial" w:cs="Arial"/>
        </w:rPr>
        <w:t>DSL Classification</w:t>
      </w:r>
      <w:bookmarkEnd w:id="4"/>
    </w:p>
    <w:p w14:paraId="7EBD47A3" w14:textId="6B862B63" w:rsidR="001768DE" w:rsidRPr="00E531FB" w:rsidRDefault="001768DE" w:rsidP="00E962FE">
      <w:pPr>
        <w:pStyle w:val="NormalText"/>
      </w:pPr>
    </w:p>
    <w:p w14:paraId="153B6E47" w14:textId="3A5D7DA5" w:rsidR="001768DE" w:rsidRPr="00E531FB" w:rsidRDefault="001768DE" w:rsidP="00E962FE">
      <w:pPr>
        <w:pStyle w:val="NormalText"/>
      </w:pPr>
      <w:proofErr w:type="gramStart"/>
      <w:r w:rsidRPr="00E531FB">
        <w:t>In order to</w:t>
      </w:r>
      <w:proofErr w:type="gramEnd"/>
      <w:r w:rsidRPr="00E531FB">
        <w:t xml:space="preserve"> align the HEDSL with the GADSL database as much as possible, reportable substances, when present in material, parts, or components, shall be listed with a “P” or “D” classification:</w:t>
      </w:r>
    </w:p>
    <w:p w14:paraId="2FA9FDAE" w14:textId="2775D4C7" w:rsidR="001768DE" w:rsidRPr="00E531FB" w:rsidRDefault="001768DE" w:rsidP="00E962FE">
      <w:pPr>
        <w:pStyle w:val="NormalText"/>
      </w:pPr>
    </w:p>
    <w:p w14:paraId="6E70A497" w14:textId="1EDA76FE" w:rsidR="001768DE" w:rsidRPr="00E531FB" w:rsidRDefault="001768DE" w:rsidP="00E962FE">
      <w:pPr>
        <w:pStyle w:val="NormalText"/>
      </w:pPr>
      <w:r w:rsidRPr="00E531FB">
        <w:rPr>
          <w:u w:val="single"/>
        </w:rPr>
        <w:t>Prohibited (P)</w:t>
      </w:r>
      <w:proofErr w:type="gramStart"/>
      <w:r w:rsidRPr="00E531FB">
        <w:rPr>
          <w:u w:val="single"/>
        </w:rPr>
        <w:t>:</w:t>
      </w:r>
      <w:r w:rsidRPr="00E531FB">
        <w:t xml:space="preserve">  substances</w:t>
      </w:r>
      <w:proofErr w:type="gramEnd"/>
      <w:r w:rsidRPr="00E531FB">
        <w:t xml:space="preserve"> identified with a P designation will be prohibited from use in all off-road equipment applications in at least one region or may not exceed a regulated threshold limit in at least one region.</w:t>
      </w:r>
    </w:p>
    <w:p w14:paraId="3E13B335" w14:textId="14CED64B" w:rsidR="001768DE" w:rsidRPr="00E531FB" w:rsidRDefault="001768DE" w:rsidP="00E962FE">
      <w:pPr>
        <w:pStyle w:val="NormalText"/>
      </w:pPr>
    </w:p>
    <w:p w14:paraId="5DFFAD26" w14:textId="5DE37DB2" w:rsidR="001768DE" w:rsidRPr="00E531FB" w:rsidRDefault="001768DE" w:rsidP="00E962FE">
      <w:pPr>
        <w:pStyle w:val="NormalText"/>
      </w:pPr>
      <w:r w:rsidRPr="00E531FB">
        <w:rPr>
          <w:u w:val="single"/>
        </w:rPr>
        <w:t>Declarable (D):</w:t>
      </w:r>
      <w:r w:rsidRPr="00E531FB">
        <w:t xml:space="preserve"> A substance must be identified with a D designation if it exceeds the defined threshold limits.</w:t>
      </w:r>
    </w:p>
    <w:p w14:paraId="700CD8FD" w14:textId="37ED585F" w:rsidR="001768DE" w:rsidRPr="00E531FB" w:rsidRDefault="001768DE" w:rsidP="00E962FE">
      <w:pPr>
        <w:pStyle w:val="NormalText"/>
      </w:pPr>
    </w:p>
    <w:p w14:paraId="27641519" w14:textId="00D91564" w:rsidR="001768DE" w:rsidRPr="00E531FB" w:rsidRDefault="001768DE" w:rsidP="00E962FE">
      <w:pPr>
        <w:pStyle w:val="NormalText"/>
      </w:pPr>
      <w:r w:rsidRPr="00E531FB">
        <w:rPr>
          <w:u w:val="single"/>
        </w:rPr>
        <w:t>Declarable or Prohibited (D/P):</w:t>
      </w:r>
      <w:r w:rsidRPr="00E531FB">
        <w:t xml:space="preserve"> A substance must be identified with a D/P if it has both allowed uses and prohibited uses in at least one region. Substances marked D/P and P must also be declared if they are present above the regulated threshold.</w:t>
      </w:r>
    </w:p>
    <w:p w14:paraId="2316438B" w14:textId="2829F767" w:rsidR="001768DE" w:rsidRPr="00E531FB" w:rsidRDefault="001768DE" w:rsidP="00E962FE">
      <w:pPr>
        <w:pStyle w:val="NormalText"/>
      </w:pPr>
    </w:p>
    <w:p w14:paraId="6D04E978" w14:textId="24332B8F" w:rsidR="001768DE" w:rsidRPr="00E531FB" w:rsidRDefault="001768DE" w:rsidP="00E962FE">
      <w:pPr>
        <w:pStyle w:val="Heading2"/>
        <w:rPr>
          <w:rFonts w:ascii="Arial" w:hAnsi="Arial" w:cs="Arial"/>
        </w:rPr>
      </w:pPr>
      <w:bookmarkStart w:id="5" w:name="_Toc206706874"/>
      <w:r w:rsidRPr="00E531FB">
        <w:rPr>
          <w:rFonts w:ascii="Arial" w:hAnsi="Arial" w:cs="Arial"/>
        </w:rPr>
        <w:t>Reason Codes:</w:t>
      </w:r>
      <w:bookmarkEnd w:id="5"/>
    </w:p>
    <w:p w14:paraId="410C4F4A" w14:textId="104A9F14" w:rsidR="001768DE" w:rsidRPr="00E531FB" w:rsidRDefault="001768DE" w:rsidP="00E962FE">
      <w:pPr>
        <w:pStyle w:val="NormalText"/>
        <w:rPr>
          <w:u w:val="single"/>
        </w:rPr>
      </w:pPr>
    </w:p>
    <w:p w14:paraId="19C589E6" w14:textId="575F1DBC" w:rsidR="001768DE" w:rsidRPr="00E531FB" w:rsidRDefault="001768DE" w:rsidP="00E962FE">
      <w:pPr>
        <w:pStyle w:val="NormalText"/>
      </w:pPr>
      <w:proofErr w:type="gramStart"/>
      <w:r w:rsidRPr="00E531FB">
        <w:t>In order to</w:t>
      </w:r>
      <w:proofErr w:type="gramEnd"/>
      <w:r w:rsidRPr="00E531FB">
        <w:t xml:space="preserve"> align the HEDSL with the GADSL designations as much as possible, </w:t>
      </w:r>
      <w:proofErr w:type="gramStart"/>
      <w:r w:rsidRPr="00E531FB">
        <w:t>the HEDSL</w:t>
      </w:r>
      <w:proofErr w:type="gramEnd"/>
      <w:r w:rsidRPr="00E531FB">
        <w:t xml:space="preserve"> shall use the following codes to explain the reasoning behind substance designations:</w:t>
      </w:r>
    </w:p>
    <w:p w14:paraId="7704A995" w14:textId="08EAB5BD" w:rsidR="001768DE" w:rsidRPr="00E531FB" w:rsidRDefault="001768DE" w:rsidP="00E962FE">
      <w:pPr>
        <w:pStyle w:val="NormalText"/>
      </w:pPr>
    </w:p>
    <w:p w14:paraId="2F4AC9D6" w14:textId="356568EC" w:rsidR="001768DE" w:rsidRPr="00E531FB" w:rsidRDefault="001768DE" w:rsidP="00E962FE">
      <w:pPr>
        <w:pStyle w:val="NormalText"/>
      </w:pPr>
      <w:r w:rsidRPr="00E531FB">
        <w:rPr>
          <w:u w:val="single"/>
        </w:rPr>
        <w:lastRenderedPageBreak/>
        <w:t>Legally Regulated (LR):</w:t>
      </w:r>
      <w:r w:rsidRPr="00E531FB">
        <w:t xml:space="preserve"> Substances are designated as </w:t>
      </w:r>
      <w:proofErr w:type="gramStart"/>
      <w:r w:rsidRPr="00E531FB">
        <w:t>a legally</w:t>
      </w:r>
      <w:proofErr w:type="gramEnd"/>
      <w:r w:rsidRPr="00E531FB">
        <w:t xml:space="preserve"> regulated substances by a country or region’s regulatory </w:t>
      </w:r>
      <w:r w:rsidR="00BD0BAF" w:rsidRPr="00E531FB">
        <w:t>agency.</w:t>
      </w:r>
    </w:p>
    <w:p w14:paraId="3C2F3974" w14:textId="57B3D102" w:rsidR="001768DE" w:rsidRPr="00E531FB" w:rsidRDefault="001768DE" w:rsidP="00E962FE">
      <w:pPr>
        <w:pStyle w:val="NormalText"/>
      </w:pPr>
    </w:p>
    <w:p w14:paraId="28662387" w14:textId="37677971" w:rsidR="001768DE" w:rsidRPr="00E531FB" w:rsidRDefault="001768DE" w:rsidP="00E962FE">
      <w:pPr>
        <w:pStyle w:val="NormalText"/>
      </w:pPr>
      <w:r w:rsidRPr="00E531FB">
        <w:rPr>
          <w:u w:val="single"/>
        </w:rPr>
        <w:t>For Assessment (FA)</w:t>
      </w:r>
      <w:proofErr w:type="gramStart"/>
      <w:r w:rsidRPr="00E531FB">
        <w:rPr>
          <w:u w:val="single"/>
        </w:rPr>
        <w:t xml:space="preserve">: </w:t>
      </w:r>
      <w:r w:rsidRPr="00E531FB">
        <w:t xml:space="preserve"> Substances</w:t>
      </w:r>
      <w:proofErr w:type="gramEnd"/>
      <w:r w:rsidRPr="00E531FB">
        <w:t xml:space="preserve"> </w:t>
      </w:r>
      <w:r w:rsidR="00C704C1" w:rsidRPr="00E531FB">
        <w:t>are</w:t>
      </w:r>
      <w:r w:rsidRPr="00E531FB">
        <w:t xml:space="preserve"> projected to be regulated by a government</w:t>
      </w:r>
      <w:r w:rsidR="00C704C1" w:rsidRPr="00E531FB">
        <w:t>al body</w:t>
      </w:r>
      <w:r w:rsidRPr="00E531FB">
        <w:t>.</w:t>
      </w:r>
    </w:p>
    <w:p w14:paraId="1864A05D" w14:textId="6768CAAD" w:rsidR="001768DE" w:rsidRPr="00E531FB" w:rsidRDefault="001768DE" w:rsidP="00E962FE">
      <w:pPr>
        <w:pStyle w:val="NormalText"/>
      </w:pPr>
    </w:p>
    <w:p w14:paraId="3A344636" w14:textId="415D2711" w:rsidR="001768DE" w:rsidRPr="00E531FB" w:rsidRDefault="001768DE" w:rsidP="00E962FE">
      <w:pPr>
        <w:pStyle w:val="NormalText"/>
      </w:pPr>
      <w:r w:rsidRPr="00E531FB">
        <w:rPr>
          <w:u w:val="single"/>
        </w:rPr>
        <w:t>For Information (FI):</w:t>
      </w:r>
      <w:r w:rsidRPr="00E531FB">
        <w:t xml:space="preserve"> Substance to be tracked for information purposes </w:t>
      </w:r>
      <w:r w:rsidR="00BD0BAF" w:rsidRPr="00E531FB">
        <w:t>only.</w:t>
      </w:r>
      <w:r w:rsidRPr="00E531FB">
        <w:t xml:space="preserve"> </w:t>
      </w:r>
    </w:p>
    <w:p w14:paraId="6C44D2B3" w14:textId="2753FEF6" w:rsidR="001768DE" w:rsidRPr="00E531FB" w:rsidRDefault="001768DE" w:rsidP="00E962FE">
      <w:pPr>
        <w:pStyle w:val="NormalText"/>
      </w:pPr>
    </w:p>
    <w:p w14:paraId="5C68E66D" w14:textId="00CC8553" w:rsidR="001768DE" w:rsidRPr="00E531FB" w:rsidRDefault="001768DE" w:rsidP="00E962FE">
      <w:pPr>
        <w:pStyle w:val="NormalText"/>
      </w:pPr>
      <w:r w:rsidRPr="00E531FB">
        <w:t xml:space="preserve">Reason code designations </w:t>
      </w:r>
      <w:r w:rsidR="00A810E5" w:rsidRPr="00E531FB">
        <w:t>d</w:t>
      </w:r>
      <w:r w:rsidRPr="00E531FB">
        <w:t xml:space="preserve">o not mean the substance is prohibited from use in the </w:t>
      </w:r>
      <w:r w:rsidR="00A810E5" w:rsidRPr="00E531FB">
        <w:t>product</w:t>
      </w:r>
      <w:r w:rsidRPr="00E531FB">
        <w:t xml:space="preserve">. </w:t>
      </w:r>
    </w:p>
    <w:p w14:paraId="665E19C5" w14:textId="430F85DD" w:rsidR="001768DE" w:rsidRPr="00E531FB" w:rsidRDefault="001768DE" w:rsidP="00E962FE">
      <w:pPr>
        <w:pStyle w:val="NormalText"/>
      </w:pPr>
    </w:p>
    <w:p w14:paraId="458F4D52" w14:textId="41237155" w:rsidR="001768DE" w:rsidRPr="00E531FB" w:rsidRDefault="001768DE" w:rsidP="00E962FE">
      <w:pPr>
        <w:pStyle w:val="NormalText"/>
      </w:pPr>
      <w:r w:rsidRPr="00E531FB">
        <w:t xml:space="preserve">If all members of a substance family are designated as D or </w:t>
      </w:r>
      <w:proofErr w:type="gramStart"/>
      <w:r w:rsidRPr="00E531FB">
        <w:t>P</w:t>
      </w:r>
      <w:proofErr w:type="gramEnd"/>
      <w:r w:rsidRPr="00E531FB">
        <w:t xml:space="preserve"> then the designation “All Members” will be listed after the family name</w:t>
      </w:r>
      <w:r w:rsidR="00A810E5" w:rsidRPr="00E531FB">
        <w:t>.</w:t>
      </w:r>
    </w:p>
    <w:p w14:paraId="4839766D" w14:textId="5F810A4A" w:rsidR="001768DE" w:rsidRPr="00E531FB" w:rsidRDefault="001768DE" w:rsidP="00E962FE">
      <w:pPr>
        <w:pStyle w:val="NormalText"/>
      </w:pPr>
    </w:p>
    <w:p w14:paraId="747498CA" w14:textId="330B516C" w:rsidR="001768DE" w:rsidRPr="00E531FB" w:rsidRDefault="001768DE" w:rsidP="00E962FE">
      <w:pPr>
        <w:pStyle w:val="NormalText"/>
      </w:pPr>
      <w:r w:rsidRPr="00E531FB">
        <w:t xml:space="preserve">In some </w:t>
      </w:r>
      <w:r w:rsidR="00C704C1" w:rsidRPr="00E531FB">
        <w:t>cases,</w:t>
      </w:r>
      <w:r w:rsidRPr="00E531FB">
        <w:t xml:space="preserve"> substance families have the classification “D, except”. This indicates that all substances within a family are declarable except th</w:t>
      </w:r>
      <w:r w:rsidR="00C704C1" w:rsidRPr="00E531FB">
        <w:t>o</w:t>
      </w:r>
      <w:r w:rsidRPr="00E531FB">
        <w:t>se that are listed directly below that are labelled with a P.</w:t>
      </w:r>
    </w:p>
    <w:p w14:paraId="5BD2F67C" w14:textId="20C2C510" w:rsidR="001768DE" w:rsidRPr="00E531FB" w:rsidRDefault="00FF174D" w:rsidP="007C0927">
      <w:pPr>
        <w:pStyle w:val="Heading1"/>
        <w:rPr>
          <w:rFonts w:ascii="Arial" w:hAnsi="Arial" w:cs="Arial"/>
        </w:rPr>
      </w:pPr>
      <w:bookmarkStart w:id="6" w:name="_Toc206706875"/>
      <w:r w:rsidRPr="007C2DE4">
        <w:rPr>
          <w:rFonts w:ascii="Arial" w:hAnsi="Arial" w:cs="Arial"/>
        </w:rPr>
        <w:t>HEDSL Committee</w:t>
      </w:r>
      <w:r w:rsidR="00353826" w:rsidRPr="007C2DE4">
        <w:rPr>
          <w:rFonts w:ascii="Arial" w:hAnsi="Arial" w:cs="Arial"/>
        </w:rPr>
        <w:t xml:space="preserve"> Review Procedure</w:t>
      </w:r>
      <w:bookmarkEnd w:id="6"/>
    </w:p>
    <w:p w14:paraId="09B602F3" w14:textId="77777777" w:rsidR="008F16DA" w:rsidRPr="00E531FB" w:rsidRDefault="008F16DA" w:rsidP="00637581">
      <w:pPr>
        <w:pStyle w:val="NormalText"/>
      </w:pPr>
    </w:p>
    <w:p w14:paraId="1AA4BB17" w14:textId="4550E86E" w:rsidR="00BB0C08" w:rsidRPr="00E531FB" w:rsidRDefault="00BB0C08" w:rsidP="00BB0C08">
      <w:pPr>
        <w:pStyle w:val="Heading2"/>
        <w:rPr>
          <w:rFonts w:ascii="Arial" w:hAnsi="Arial" w:cs="Arial"/>
        </w:rPr>
      </w:pPr>
      <w:bookmarkStart w:id="7" w:name="_Toc206706876"/>
      <w:r w:rsidRPr="00E531FB">
        <w:rPr>
          <w:rFonts w:ascii="Arial" w:hAnsi="Arial" w:cs="Arial"/>
        </w:rPr>
        <w:t>Process:</w:t>
      </w:r>
      <w:bookmarkEnd w:id="7"/>
      <w:r w:rsidRPr="00E531FB">
        <w:rPr>
          <w:rFonts w:ascii="Arial" w:hAnsi="Arial" w:cs="Arial"/>
        </w:rPr>
        <w:t xml:space="preserve"> </w:t>
      </w:r>
    </w:p>
    <w:p w14:paraId="3CAA10C9" w14:textId="41CFF258" w:rsidR="00BB0C08" w:rsidRPr="00E531FB" w:rsidRDefault="00BB0C08" w:rsidP="00BB0C08">
      <w:pPr>
        <w:pStyle w:val="NormalText"/>
      </w:pPr>
      <w:r w:rsidRPr="00E531FB">
        <w:t xml:space="preserve">The committee shall review each chemical based on the criteria outlined in </w:t>
      </w:r>
      <w:r w:rsidRPr="00E531FB">
        <w:rPr>
          <w:b/>
          <w:bCs/>
        </w:rPr>
        <w:t>Table 1</w:t>
      </w:r>
      <w:r w:rsidRPr="00E531FB">
        <w:t xml:space="preserve">. </w:t>
      </w:r>
    </w:p>
    <w:p w14:paraId="6352C808" w14:textId="77777777" w:rsidR="00BB0C08" w:rsidRPr="00E531FB" w:rsidRDefault="00BB0C08" w:rsidP="00BB0C08">
      <w:pPr>
        <w:pStyle w:val="NormalText"/>
      </w:pPr>
    </w:p>
    <w:p w14:paraId="27C7A3EC" w14:textId="6022800B" w:rsidR="00E531FB" w:rsidRDefault="00BB0C08" w:rsidP="00BB0C08">
      <w:pPr>
        <w:pStyle w:val="NormalText"/>
      </w:pPr>
      <w:r w:rsidRPr="00E531FB">
        <w:t>Individual companies may submit new substances, or a new designation request, to the HEDSL committee for consideration that have not yet been published on GADSL.</w:t>
      </w:r>
      <w:r w:rsidR="00E531FB">
        <w:t xml:space="preserve"> All substance considerations shall be made by using the HEDSL Dossier (</w:t>
      </w:r>
      <w:r w:rsidR="007C2DE4" w:rsidRPr="007C2DE4">
        <w:rPr>
          <w:b/>
          <w:bCs/>
        </w:rPr>
        <w:t>Proc - 2025.8.5 - Dossier.docx</w:t>
      </w:r>
      <w:r w:rsidR="00E531FB">
        <w:t xml:space="preserve">). </w:t>
      </w:r>
      <w:r w:rsidRPr="00E531FB">
        <w:t xml:space="preserve"> </w:t>
      </w:r>
    </w:p>
    <w:p w14:paraId="5AF3281B" w14:textId="77777777" w:rsidR="00E531FB" w:rsidRDefault="00E531FB" w:rsidP="00BB0C08">
      <w:pPr>
        <w:pStyle w:val="NormalText"/>
      </w:pPr>
    </w:p>
    <w:p w14:paraId="79D0D303" w14:textId="345EE122" w:rsidR="00BB0C08" w:rsidRPr="00E531FB" w:rsidRDefault="00BB0C08" w:rsidP="00BB0C08">
      <w:pPr>
        <w:pStyle w:val="NormalText"/>
      </w:pPr>
      <w:r w:rsidRPr="00E531FB">
        <w:t xml:space="preserve">The committee shall evaluate </w:t>
      </w:r>
      <w:r w:rsidR="00E531FB">
        <w:t>all proposed</w:t>
      </w:r>
      <w:r w:rsidRPr="00E531FB">
        <w:t xml:space="preserve"> considerations to ensure that the targeted substance needs are</w:t>
      </w:r>
      <w:r w:rsidR="00E531FB">
        <w:t xml:space="preserve"> properly</w:t>
      </w:r>
      <w:r w:rsidRPr="00E531FB">
        <w:t xml:space="preserve"> addressed on the HEDSL list. </w:t>
      </w:r>
    </w:p>
    <w:p w14:paraId="388C8826" w14:textId="77777777" w:rsidR="00404FA6" w:rsidRPr="00E531FB" w:rsidRDefault="00404FA6" w:rsidP="00BB0C08">
      <w:pPr>
        <w:pStyle w:val="NormalText"/>
      </w:pPr>
    </w:p>
    <w:p w14:paraId="2CC395D1" w14:textId="7AD5B743" w:rsidR="00BB0C08" w:rsidRDefault="006242D2" w:rsidP="00BB0C08">
      <w:pPr>
        <w:pStyle w:val="NormalText"/>
      </w:pPr>
      <w:r>
        <w:t>The HEDSL committee</w:t>
      </w:r>
      <w:r w:rsidR="00BB0C08" w:rsidRPr="00E531FB">
        <w:t xml:space="preserve"> will give</w:t>
      </w:r>
      <w:r>
        <w:t xml:space="preserve"> special consideration to newly proposed substances</w:t>
      </w:r>
      <w:r w:rsidR="00BB0C08" w:rsidRPr="00E531FB">
        <w:t xml:space="preserve"> to ensure only </w:t>
      </w:r>
      <w:r w:rsidR="00A70D99">
        <w:t>necessary changes</w:t>
      </w:r>
      <w:r w:rsidR="00BB0C08" w:rsidRPr="00E531FB">
        <w:t xml:space="preserve"> </w:t>
      </w:r>
      <w:r>
        <w:t>are</w:t>
      </w:r>
      <w:r w:rsidR="00BB0C08" w:rsidRPr="00E531FB">
        <w:t xml:space="preserve"> made</w:t>
      </w:r>
      <w:r>
        <w:t>.</w:t>
      </w:r>
    </w:p>
    <w:p w14:paraId="3E19DC33" w14:textId="77777777" w:rsidR="00353826" w:rsidRDefault="00353826" w:rsidP="00BB0C08">
      <w:pPr>
        <w:pStyle w:val="NormalText"/>
      </w:pPr>
    </w:p>
    <w:p w14:paraId="6978BEF9" w14:textId="1E61C6FB" w:rsidR="00353826" w:rsidRPr="007C2DE4" w:rsidRDefault="00353826" w:rsidP="00BB0C08">
      <w:pPr>
        <w:pStyle w:val="NormalText"/>
      </w:pPr>
      <w:r w:rsidRPr="007C2DE4">
        <w:t xml:space="preserve">The HEDSL committee shall apply the safety principle towards adding or removing chemicals from the HEDSL. Chemicals should be added to, or left on, the HEDSL if the committee is uncertain </w:t>
      </w:r>
      <w:proofErr w:type="gramStart"/>
      <w:r w:rsidRPr="007C2DE4">
        <w:t>to</w:t>
      </w:r>
      <w:proofErr w:type="gramEnd"/>
      <w:r w:rsidRPr="007C2DE4">
        <w:t xml:space="preserve"> the presence of a chemical substance in non-road equipment.</w:t>
      </w:r>
    </w:p>
    <w:p w14:paraId="38006DEA" w14:textId="77777777" w:rsidR="00353826" w:rsidRPr="007C2DE4" w:rsidRDefault="00353826" w:rsidP="00BB0C08">
      <w:pPr>
        <w:pStyle w:val="NormalText"/>
      </w:pPr>
    </w:p>
    <w:p w14:paraId="30659871" w14:textId="37ED1A0E" w:rsidR="00353826" w:rsidRPr="007C2DE4" w:rsidRDefault="00353826" w:rsidP="00BB0C08">
      <w:pPr>
        <w:pStyle w:val="NormalText"/>
      </w:pPr>
      <w:r w:rsidRPr="007C2DE4">
        <w:t xml:space="preserve">At times, government bodies may regulate a chemical, or group of chemicals, without providing a list of specific Chemical Abstract Service (CAS) numbers to reference. Reasons for this include the fact that not all chemicals have a unique chemical identifier or the definition of the chemical family being regulated is very large. To accommodate these special instances, and ensure the HEDSL is clear for suppliers, chemicals without a CAS number shall be placed on a holding list, separate from the HEDSL list for special consideration and reviewed annually. The HEDSL committee shall determine the best method to convey these substances to the supply chain. </w:t>
      </w:r>
    </w:p>
    <w:p w14:paraId="72C9D0A5" w14:textId="77777777" w:rsidR="00353826" w:rsidRPr="007C2DE4" w:rsidRDefault="00353826" w:rsidP="00BB0C08">
      <w:pPr>
        <w:pStyle w:val="NormalText"/>
      </w:pPr>
    </w:p>
    <w:p w14:paraId="601F627F" w14:textId="19669706" w:rsidR="00353826" w:rsidRPr="007C2DE4" w:rsidRDefault="00353826" w:rsidP="00BB0C08">
      <w:pPr>
        <w:pStyle w:val="NormalText"/>
      </w:pPr>
      <w:r w:rsidRPr="007C2DE4">
        <w:t xml:space="preserve">Note: some chemicals may not have a CAS number but may include an EU EC number as the only identifier. While the CAS number is preferable, the HEDSL will include the most prominent chemical identifier on the list. </w:t>
      </w:r>
    </w:p>
    <w:p w14:paraId="6FF2A0BA" w14:textId="77777777" w:rsidR="00353826" w:rsidRPr="007C2DE4" w:rsidRDefault="00353826" w:rsidP="00BB0C08">
      <w:pPr>
        <w:pStyle w:val="NormalText"/>
      </w:pPr>
    </w:p>
    <w:p w14:paraId="590B6F9F" w14:textId="791166A0" w:rsidR="00353826" w:rsidRDefault="00353826" w:rsidP="00BB0C08">
      <w:pPr>
        <w:pStyle w:val="NormalText"/>
      </w:pPr>
      <w:r w:rsidRPr="007C2DE4">
        <w:lastRenderedPageBreak/>
        <w:t xml:space="preserve">For chemicals that are already on the HEDSL, but transition from being declarable to being prohibited. These changes shall be added to the </w:t>
      </w:r>
      <w:proofErr w:type="gramStart"/>
      <w:r w:rsidRPr="007C2DE4">
        <w:t>list, but</w:t>
      </w:r>
      <w:proofErr w:type="gramEnd"/>
      <w:r w:rsidRPr="007C2DE4">
        <w:t xml:space="preserve"> not published until the annual review meeting.</w:t>
      </w:r>
    </w:p>
    <w:p w14:paraId="006D463A" w14:textId="77777777" w:rsidR="00353826" w:rsidRDefault="00353826" w:rsidP="00BB0C08">
      <w:pPr>
        <w:pStyle w:val="NormalText"/>
      </w:pPr>
    </w:p>
    <w:p w14:paraId="66574CFD" w14:textId="13D6FD46" w:rsidR="00BB0C08" w:rsidRDefault="00F268DE" w:rsidP="00BB0C08">
      <w:pPr>
        <w:pStyle w:val="NormalText"/>
        <w:rPr>
          <w:b/>
          <w:bCs/>
          <w:u w:val="single"/>
        </w:rPr>
      </w:pPr>
      <w:r>
        <w:t xml:space="preserve">All additions or subtractions to the HEDSL </w:t>
      </w:r>
      <w:proofErr w:type="gramStart"/>
      <w:r>
        <w:t>requires</w:t>
      </w:r>
      <w:proofErr w:type="gramEnd"/>
      <w:r>
        <w:t xml:space="preserve"> a 2/3rds vote of approval </w:t>
      </w:r>
      <w:proofErr w:type="gramStart"/>
      <w:r>
        <w:t>by</w:t>
      </w:r>
      <w:proofErr w:type="gramEnd"/>
      <w:r>
        <w:t xml:space="preserve"> the committee members. Votes may be taken in person or through a balloting process.  </w:t>
      </w:r>
    </w:p>
    <w:p w14:paraId="19375FDE" w14:textId="04387336" w:rsidR="00353826" w:rsidRDefault="00353826" w:rsidP="00353826">
      <w:pPr>
        <w:pStyle w:val="Heading1"/>
        <w:rPr>
          <w:b/>
          <w:bCs/>
        </w:rPr>
      </w:pPr>
      <w:bookmarkStart w:id="8" w:name="_Toc206706877"/>
      <w:r w:rsidRPr="00353826">
        <w:rPr>
          <w:b/>
          <w:bCs/>
        </w:rPr>
        <w:t>The Dossiers</w:t>
      </w:r>
      <w:bookmarkEnd w:id="8"/>
    </w:p>
    <w:p w14:paraId="4F13D5C2" w14:textId="4757A4A1" w:rsidR="00353826" w:rsidRPr="00353826" w:rsidRDefault="00353826" w:rsidP="00353826">
      <w:pPr>
        <w:rPr>
          <w:rFonts w:ascii="Arial" w:hAnsi="Arial" w:cs="Arial"/>
        </w:rPr>
      </w:pPr>
      <w:r w:rsidRPr="00353826">
        <w:rPr>
          <w:rFonts w:ascii="Arial" w:hAnsi="Arial" w:cs="Arial"/>
        </w:rPr>
        <w:t xml:space="preserve">To ensure the HEDSL committee fully </w:t>
      </w:r>
      <w:r>
        <w:rPr>
          <w:rFonts w:ascii="Arial" w:hAnsi="Arial" w:cs="Arial"/>
        </w:rPr>
        <w:t>documents all decisions, all chemicals or chemical families shall use the dossiers available to the</w:t>
      </w:r>
    </w:p>
    <w:p w14:paraId="26EAD398" w14:textId="3B634C89" w:rsidR="006242D2" w:rsidRPr="00673449" w:rsidRDefault="00BB0C08" w:rsidP="00673449">
      <w:pPr>
        <w:pStyle w:val="Heading2"/>
        <w:spacing w:before="120"/>
        <w:rPr>
          <w:rFonts w:ascii="Arial" w:hAnsi="Arial" w:cs="Arial"/>
        </w:rPr>
      </w:pPr>
      <w:r w:rsidRPr="00E531FB">
        <w:rPr>
          <w:rFonts w:ascii="Arial" w:hAnsi="Arial" w:cs="Arial"/>
        </w:rPr>
        <w:t xml:space="preserve"> </w:t>
      </w:r>
      <w:bookmarkStart w:id="9" w:name="_Toc206706878"/>
      <w:r w:rsidRPr="00E531FB">
        <w:rPr>
          <w:rFonts w:ascii="Arial" w:hAnsi="Arial" w:cs="Arial"/>
        </w:rPr>
        <w:t>Criteria for substance Inclusion/Exclusion:</w:t>
      </w:r>
      <w:bookmarkEnd w:id="9"/>
    </w:p>
    <w:p w14:paraId="094BCC0A" w14:textId="77777777" w:rsidR="00BB0C08" w:rsidRPr="00E531FB" w:rsidRDefault="00BB0C08" w:rsidP="00673449">
      <w:pPr>
        <w:pStyle w:val="NormalText"/>
        <w:spacing w:before="120"/>
      </w:pPr>
      <w:r w:rsidRPr="00E531FB">
        <w:t>All designations for inclusions and exclusions on the HEDSL list will be made by the AEM HEDSL Committee. Criteria for decisions will be based on the following:</w:t>
      </w:r>
    </w:p>
    <w:p w14:paraId="3BDF5CD2" w14:textId="77777777" w:rsidR="00BB0C08" w:rsidRPr="00E531FB" w:rsidRDefault="00BB0C08" w:rsidP="00BB0C08">
      <w:pPr>
        <w:pStyle w:val="NormalText"/>
        <w:ind w:left="720"/>
      </w:pPr>
    </w:p>
    <w:p w14:paraId="02F8BF2E" w14:textId="555964B5" w:rsidR="00BB0C08" w:rsidRDefault="006242D2" w:rsidP="003200D4">
      <w:pPr>
        <w:pStyle w:val="NormalText"/>
        <w:numPr>
          <w:ilvl w:val="0"/>
          <w:numId w:val="2"/>
        </w:numPr>
      </w:pPr>
      <w:proofErr w:type="gramStart"/>
      <w:r>
        <w:t>Substance is</w:t>
      </w:r>
      <w:proofErr w:type="gramEnd"/>
      <w:r>
        <w:t xml:space="preserve"> regulated o</w:t>
      </w:r>
      <w:r w:rsidR="008F16DA">
        <w:t>r</w:t>
      </w:r>
      <w:r>
        <w:t xml:space="preserve"> projected to be regulated by a governmental agency or </w:t>
      </w:r>
      <w:r w:rsidR="008F16DA">
        <w:t>authority.</w:t>
      </w:r>
    </w:p>
    <w:p w14:paraId="7A262F45" w14:textId="77777777" w:rsidR="006242D2" w:rsidRDefault="006242D2" w:rsidP="006242D2">
      <w:pPr>
        <w:pStyle w:val="NormalText"/>
        <w:ind w:left="1080"/>
      </w:pPr>
    </w:p>
    <w:p w14:paraId="589E939E" w14:textId="0AA51E5A" w:rsidR="006242D2" w:rsidRDefault="006242D2" w:rsidP="003200D4">
      <w:pPr>
        <w:pStyle w:val="NormalText"/>
        <w:numPr>
          <w:ilvl w:val="0"/>
          <w:numId w:val="2"/>
        </w:numPr>
      </w:pPr>
      <w:r>
        <w:t>I</w:t>
      </w:r>
      <w:r w:rsidR="008E1E52">
        <w:t xml:space="preserve">t </w:t>
      </w:r>
      <w:r>
        <w:t xml:space="preserve">is demonstrated, </w:t>
      </w:r>
      <w:r w:rsidR="008F16DA">
        <w:t>through</w:t>
      </w:r>
      <w:r>
        <w:t xml:space="preserve"> test</w:t>
      </w:r>
      <w:r w:rsidR="008F16DA">
        <w:t xml:space="preserve"> data,</w:t>
      </w:r>
      <w:r>
        <w:t xml:space="preserve"> that the substance may be associated with a significant hazard to human health and/or the environment, and its presence in a material or part </w:t>
      </w:r>
      <w:proofErr w:type="gramStart"/>
      <w:r>
        <w:t>in</w:t>
      </w:r>
      <w:proofErr w:type="gramEnd"/>
      <w:r>
        <w:t xml:space="preserve"> the equipment may create a significant risk to human health and/or the environment.</w:t>
      </w:r>
    </w:p>
    <w:p w14:paraId="4C02AEA1" w14:textId="77777777" w:rsidR="008F16DA" w:rsidRDefault="008F16DA" w:rsidP="008F16DA">
      <w:pPr>
        <w:pStyle w:val="ListParagraph"/>
      </w:pPr>
    </w:p>
    <w:p w14:paraId="48FD4A0E" w14:textId="77777777" w:rsidR="006242D2" w:rsidRDefault="006242D2" w:rsidP="006242D2">
      <w:pPr>
        <w:pStyle w:val="ListParagraph"/>
      </w:pPr>
    </w:p>
    <w:p w14:paraId="0FABB2F6" w14:textId="38AAFD92" w:rsidR="006242D2" w:rsidRDefault="006242D2" w:rsidP="003200D4">
      <w:pPr>
        <w:pStyle w:val="NormalText"/>
        <w:numPr>
          <w:ilvl w:val="0"/>
          <w:numId w:val="2"/>
        </w:numPr>
      </w:pPr>
      <w:r>
        <w:t>Other scientifically valid methodology, based on the weight of evidence, may also be considered.</w:t>
      </w:r>
    </w:p>
    <w:p w14:paraId="1DF243AA" w14:textId="77777777" w:rsidR="008F16DA" w:rsidRDefault="008F16DA" w:rsidP="008F16DA">
      <w:pPr>
        <w:pStyle w:val="ListParagraph"/>
      </w:pPr>
    </w:p>
    <w:p w14:paraId="196F6312" w14:textId="77777777" w:rsidR="006242D2" w:rsidRDefault="006242D2" w:rsidP="006242D2">
      <w:pPr>
        <w:pStyle w:val="ListParagraph"/>
      </w:pPr>
    </w:p>
    <w:p w14:paraId="12CE8FCD" w14:textId="73E473B5" w:rsidR="006242D2" w:rsidRPr="00E531FB" w:rsidRDefault="006242D2" w:rsidP="003200D4">
      <w:pPr>
        <w:pStyle w:val="NormalText"/>
        <w:numPr>
          <w:ilvl w:val="0"/>
          <w:numId w:val="2"/>
        </w:numPr>
      </w:pPr>
      <w:r>
        <w:t>Substance causes a functional problem in product design, if presence in the equipment part exceeds a level shown to be problematic by an international industry standard test</w:t>
      </w:r>
    </w:p>
    <w:p w14:paraId="721A8248" w14:textId="77777777" w:rsidR="008F16DA" w:rsidRDefault="008F16DA" w:rsidP="008F16DA">
      <w:pPr>
        <w:pStyle w:val="ListParagraph"/>
      </w:pPr>
    </w:p>
    <w:p w14:paraId="1BCB07DA" w14:textId="77777777" w:rsidR="00BB0C08" w:rsidRPr="00E531FB" w:rsidRDefault="00BB0C08" w:rsidP="00BB0C08">
      <w:pPr>
        <w:pStyle w:val="NormalText"/>
        <w:ind w:left="720"/>
      </w:pPr>
    </w:p>
    <w:p w14:paraId="56F8FC41" w14:textId="77777777" w:rsidR="00BB0C08" w:rsidRPr="00E531FB" w:rsidRDefault="00BB0C08" w:rsidP="00BB0C08">
      <w:pPr>
        <w:pStyle w:val="NormalText"/>
        <w:numPr>
          <w:ilvl w:val="0"/>
          <w:numId w:val="2"/>
        </w:numPr>
      </w:pPr>
      <w:r w:rsidRPr="00E531FB">
        <w:t xml:space="preserve">Relevance to the Off-Road industry  </w:t>
      </w:r>
    </w:p>
    <w:p w14:paraId="7E0506D4" w14:textId="77777777" w:rsidR="008F16DA" w:rsidRDefault="008F16DA" w:rsidP="008F16DA">
      <w:pPr>
        <w:pStyle w:val="ListParagraph"/>
      </w:pPr>
    </w:p>
    <w:p w14:paraId="28F23417" w14:textId="77777777" w:rsidR="00BB0C08" w:rsidRPr="00E531FB" w:rsidRDefault="00BB0C08" w:rsidP="00BB0C08">
      <w:pPr>
        <w:pStyle w:val="NormalText"/>
        <w:ind w:left="720"/>
      </w:pPr>
    </w:p>
    <w:p w14:paraId="6EC50E19" w14:textId="14E028D2" w:rsidR="00BB0C08" w:rsidRPr="00E531FB" w:rsidRDefault="00BB0C08" w:rsidP="00BB0C08">
      <w:pPr>
        <w:pStyle w:val="NormalText"/>
        <w:numPr>
          <w:ilvl w:val="0"/>
          <w:numId w:val="2"/>
        </w:numPr>
      </w:pPr>
      <w:r w:rsidRPr="00E531FB">
        <w:t xml:space="preserve">Submission requests from AEM member companies that are reviewed by the HEDSL </w:t>
      </w:r>
      <w:r w:rsidR="00A70D99" w:rsidRPr="00E531FB">
        <w:t>committee.</w:t>
      </w:r>
      <w:r w:rsidRPr="00E531FB">
        <w:t xml:space="preserve"> </w:t>
      </w:r>
    </w:p>
    <w:p w14:paraId="21E3EAD4" w14:textId="77777777" w:rsidR="008F16DA" w:rsidRDefault="008F16DA" w:rsidP="008F16DA">
      <w:pPr>
        <w:pStyle w:val="ListParagraph"/>
        <w:rPr>
          <w:b/>
          <w:bCs/>
          <w:u w:val="single"/>
        </w:rPr>
      </w:pPr>
    </w:p>
    <w:p w14:paraId="7B14B14B" w14:textId="10643671" w:rsidR="001768DE" w:rsidRPr="00E531FB" w:rsidRDefault="001768DE" w:rsidP="001768DE">
      <w:pPr>
        <w:pStyle w:val="Heading1"/>
        <w:rPr>
          <w:rFonts w:ascii="Arial" w:hAnsi="Arial" w:cs="Arial"/>
        </w:rPr>
      </w:pPr>
      <w:bookmarkStart w:id="10" w:name="_Toc206706879"/>
      <w:r w:rsidRPr="00E531FB">
        <w:rPr>
          <w:rFonts w:ascii="Arial" w:hAnsi="Arial" w:cs="Arial"/>
        </w:rPr>
        <w:t>Format of HEDSL:</w:t>
      </w:r>
      <w:bookmarkEnd w:id="10"/>
    </w:p>
    <w:p w14:paraId="6F894A0A" w14:textId="77777777" w:rsidR="001768DE" w:rsidRPr="00E531FB" w:rsidRDefault="001768DE" w:rsidP="001768DE">
      <w:pPr>
        <w:pStyle w:val="NormalText"/>
        <w:ind w:left="1080"/>
        <w:rPr>
          <w:b/>
          <w:bCs/>
          <w:u w:val="single"/>
        </w:rPr>
      </w:pPr>
    </w:p>
    <w:p w14:paraId="5EF2857F" w14:textId="7A7ADD62" w:rsidR="00F30452" w:rsidRPr="00E531FB" w:rsidRDefault="001768DE" w:rsidP="003200D4">
      <w:pPr>
        <w:rPr>
          <w:rFonts w:ascii="Arial" w:hAnsi="Arial" w:cs="Arial"/>
        </w:rPr>
      </w:pPr>
      <w:r w:rsidRPr="00E531FB">
        <w:rPr>
          <w:rFonts w:ascii="Arial" w:hAnsi="Arial" w:cs="Arial"/>
        </w:rPr>
        <w:t xml:space="preserve">The HEDSL shall mirror the GADSL as much as </w:t>
      </w:r>
      <w:r w:rsidR="00FE2D23" w:rsidRPr="00E531FB">
        <w:rPr>
          <w:rFonts w:ascii="Arial" w:hAnsi="Arial" w:cs="Arial"/>
        </w:rPr>
        <w:t>necessary.</w:t>
      </w:r>
      <w:r w:rsidRPr="00E531FB">
        <w:rPr>
          <w:rFonts w:ascii="Arial" w:hAnsi="Arial" w:cs="Arial"/>
        </w:rPr>
        <w:t xml:space="preserve"> </w:t>
      </w:r>
      <w:r w:rsidR="0053174C" w:rsidRPr="00E531FB">
        <w:rPr>
          <w:rFonts w:ascii="Arial" w:hAnsi="Arial" w:cs="Arial"/>
        </w:rPr>
        <w:t xml:space="preserve"> </w:t>
      </w:r>
    </w:p>
    <w:p w14:paraId="5761EC40" w14:textId="6172FC8E" w:rsidR="004C6FC4" w:rsidRPr="00E531FB" w:rsidRDefault="004C6FC4" w:rsidP="003200D4">
      <w:pPr>
        <w:spacing w:after="0" w:line="240" w:lineRule="auto"/>
        <w:rPr>
          <w:rFonts w:ascii="Arial" w:hAnsi="Arial" w:cs="Arial"/>
          <w:b/>
          <w:bCs/>
        </w:rPr>
      </w:pPr>
      <w:r w:rsidRPr="00E531FB">
        <w:rPr>
          <w:rFonts w:ascii="Arial" w:hAnsi="Arial" w:cs="Arial"/>
          <w:b/>
          <w:bCs/>
        </w:rPr>
        <w:t xml:space="preserve">Table 1: Datapoints </w:t>
      </w:r>
      <w:r w:rsidR="00D7687A" w:rsidRPr="00E531FB">
        <w:rPr>
          <w:rFonts w:ascii="Arial" w:hAnsi="Arial" w:cs="Arial"/>
          <w:b/>
          <w:bCs/>
        </w:rPr>
        <w:t>of the HEDSL</w:t>
      </w:r>
    </w:p>
    <w:tbl>
      <w:tblPr>
        <w:tblStyle w:val="TableGrid"/>
        <w:tblW w:w="0" w:type="auto"/>
        <w:tblInd w:w="720" w:type="dxa"/>
        <w:tblLook w:val="04A0" w:firstRow="1" w:lastRow="0" w:firstColumn="1" w:lastColumn="0" w:noHBand="0" w:noVBand="1"/>
      </w:tblPr>
      <w:tblGrid>
        <w:gridCol w:w="4324"/>
        <w:gridCol w:w="4306"/>
      </w:tblGrid>
      <w:tr w:rsidR="001768DE" w:rsidRPr="00E531FB" w14:paraId="1BD09C02" w14:textId="77777777" w:rsidTr="00353826">
        <w:tc>
          <w:tcPr>
            <w:tcW w:w="4324" w:type="dxa"/>
          </w:tcPr>
          <w:p w14:paraId="0793D5EB" w14:textId="3A0BEE12" w:rsidR="001768DE" w:rsidRPr="00E531FB" w:rsidRDefault="001768DE" w:rsidP="001768DE">
            <w:pPr>
              <w:pStyle w:val="ListParagraph"/>
              <w:numPr>
                <w:ilvl w:val="0"/>
                <w:numId w:val="3"/>
              </w:numPr>
            </w:pPr>
            <w:r w:rsidRPr="00E531FB">
              <w:t>Column A</w:t>
            </w:r>
          </w:p>
        </w:tc>
        <w:tc>
          <w:tcPr>
            <w:tcW w:w="4306" w:type="dxa"/>
          </w:tcPr>
          <w:p w14:paraId="4D8253AB" w14:textId="5DE360B4" w:rsidR="001768DE" w:rsidRPr="00E531FB" w:rsidRDefault="001768DE" w:rsidP="008D2B49">
            <w:pPr>
              <w:rPr>
                <w:rFonts w:ascii="Arial" w:hAnsi="Arial" w:cs="Arial"/>
              </w:rPr>
            </w:pPr>
            <w:r w:rsidRPr="00E531FB">
              <w:rPr>
                <w:rFonts w:ascii="Arial" w:hAnsi="Arial" w:cs="Arial"/>
              </w:rPr>
              <w:t>Substance Index Number: Numerical identification of the substance in the database</w:t>
            </w:r>
          </w:p>
        </w:tc>
      </w:tr>
      <w:tr w:rsidR="001768DE" w:rsidRPr="00E531FB" w14:paraId="3E51F14A" w14:textId="77777777" w:rsidTr="00353826">
        <w:tc>
          <w:tcPr>
            <w:tcW w:w="4324" w:type="dxa"/>
          </w:tcPr>
          <w:p w14:paraId="2CFDBB90" w14:textId="04528908" w:rsidR="001768DE" w:rsidRPr="007C2DE4" w:rsidRDefault="001768DE" w:rsidP="001768DE">
            <w:pPr>
              <w:pStyle w:val="ListParagraph"/>
              <w:numPr>
                <w:ilvl w:val="0"/>
                <w:numId w:val="3"/>
              </w:numPr>
            </w:pPr>
            <w:r w:rsidRPr="007C2DE4">
              <w:t>Column B</w:t>
            </w:r>
          </w:p>
        </w:tc>
        <w:tc>
          <w:tcPr>
            <w:tcW w:w="4306" w:type="dxa"/>
          </w:tcPr>
          <w:p w14:paraId="1D115E0E" w14:textId="2F2D3486" w:rsidR="001768DE" w:rsidRPr="007C2DE4" w:rsidRDefault="00353826" w:rsidP="008D2B49">
            <w:pPr>
              <w:rPr>
                <w:rFonts w:ascii="Arial" w:hAnsi="Arial" w:cs="Arial"/>
              </w:rPr>
            </w:pPr>
            <w:r w:rsidRPr="007C2DE4">
              <w:rPr>
                <w:rFonts w:ascii="Arial" w:hAnsi="Arial" w:cs="Arial"/>
              </w:rPr>
              <w:t>Reference #</w:t>
            </w:r>
          </w:p>
        </w:tc>
      </w:tr>
      <w:tr w:rsidR="00353826" w:rsidRPr="00E531FB" w14:paraId="23C3360D" w14:textId="77777777" w:rsidTr="00353826">
        <w:tc>
          <w:tcPr>
            <w:tcW w:w="4324" w:type="dxa"/>
          </w:tcPr>
          <w:p w14:paraId="25D638BA" w14:textId="6BBA44C1" w:rsidR="00353826" w:rsidRPr="00E531FB" w:rsidRDefault="00353826" w:rsidP="001768DE">
            <w:pPr>
              <w:pStyle w:val="ListParagraph"/>
              <w:numPr>
                <w:ilvl w:val="0"/>
                <w:numId w:val="3"/>
              </w:numPr>
            </w:pPr>
            <w:r w:rsidRPr="00E531FB">
              <w:lastRenderedPageBreak/>
              <w:t>Column C</w:t>
            </w:r>
          </w:p>
        </w:tc>
        <w:tc>
          <w:tcPr>
            <w:tcW w:w="4306" w:type="dxa"/>
          </w:tcPr>
          <w:p w14:paraId="264AEF18" w14:textId="1A421DC9" w:rsidR="00353826" w:rsidRPr="00E531FB" w:rsidRDefault="00353826" w:rsidP="008D2B49">
            <w:pPr>
              <w:rPr>
                <w:rFonts w:ascii="Arial" w:hAnsi="Arial" w:cs="Arial"/>
              </w:rPr>
            </w:pPr>
            <w:r w:rsidRPr="00E531FB">
              <w:rPr>
                <w:rFonts w:ascii="Arial" w:hAnsi="Arial" w:cs="Arial"/>
              </w:rPr>
              <w:t>Substance Name</w:t>
            </w:r>
          </w:p>
        </w:tc>
      </w:tr>
      <w:tr w:rsidR="001768DE" w:rsidRPr="00E531FB" w14:paraId="07E624F8" w14:textId="77777777" w:rsidTr="00353826">
        <w:tc>
          <w:tcPr>
            <w:tcW w:w="4324" w:type="dxa"/>
          </w:tcPr>
          <w:p w14:paraId="68A2722E" w14:textId="0BBDD2FD" w:rsidR="001768DE" w:rsidRPr="00E531FB" w:rsidRDefault="001768DE" w:rsidP="001768DE">
            <w:pPr>
              <w:pStyle w:val="ListParagraph"/>
              <w:numPr>
                <w:ilvl w:val="0"/>
                <w:numId w:val="3"/>
              </w:numPr>
            </w:pPr>
            <w:r w:rsidRPr="00E531FB">
              <w:t xml:space="preserve">Column </w:t>
            </w:r>
            <w:r w:rsidR="00353826">
              <w:t>D</w:t>
            </w:r>
          </w:p>
        </w:tc>
        <w:tc>
          <w:tcPr>
            <w:tcW w:w="4306" w:type="dxa"/>
          </w:tcPr>
          <w:p w14:paraId="3B0347CC" w14:textId="1375B54A" w:rsidR="001768DE" w:rsidRPr="00E531FB" w:rsidRDefault="001768DE" w:rsidP="008D2B49">
            <w:pPr>
              <w:rPr>
                <w:rFonts w:ascii="Arial" w:hAnsi="Arial" w:cs="Arial"/>
              </w:rPr>
            </w:pPr>
            <w:r w:rsidRPr="00E531FB">
              <w:rPr>
                <w:rFonts w:ascii="Arial" w:hAnsi="Arial" w:cs="Arial"/>
              </w:rPr>
              <w:t>CAS Number: All single substances listed on the list shall have a CAS number identification</w:t>
            </w:r>
          </w:p>
        </w:tc>
      </w:tr>
      <w:tr w:rsidR="001768DE" w:rsidRPr="00E531FB" w14:paraId="6F57F5AE" w14:textId="77777777" w:rsidTr="00353826">
        <w:tc>
          <w:tcPr>
            <w:tcW w:w="4324" w:type="dxa"/>
          </w:tcPr>
          <w:p w14:paraId="2324F8FD" w14:textId="0A1FCFCC" w:rsidR="001768DE" w:rsidRPr="00E531FB" w:rsidRDefault="001768DE" w:rsidP="001768DE">
            <w:pPr>
              <w:pStyle w:val="ListParagraph"/>
              <w:numPr>
                <w:ilvl w:val="0"/>
                <w:numId w:val="3"/>
              </w:numPr>
            </w:pPr>
            <w:r w:rsidRPr="00E531FB">
              <w:t xml:space="preserve">Column </w:t>
            </w:r>
            <w:r w:rsidR="00353826">
              <w:t>E</w:t>
            </w:r>
          </w:p>
        </w:tc>
        <w:tc>
          <w:tcPr>
            <w:tcW w:w="4306" w:type="dxa"/>
          </w:tcPr>
          <w:p w14:paraId="5C70D2E8" w14:textId="4C56FC5B" w:rsidR="001768DE" w:rsidRPr="00E531FB" w:rsidRDefault="001768DE" w:rsidP="008D2B49">
            <w:pPr>
              <w:rPr>
                <w:rFonts w:ascii="Arial" w:hAnsi="Arial" w:cs="Arial"/>
              </w:rPr>
            </w:pPr>
            <w:r w:rsidRPr="00E531FB">
              <w:rPr>
                <w:rFonts w:ascii="Arial" w:hAnsi="Arial" w:cs="Arial"/>
              </w:rPr>
              <w:t>Classification: P, D, or P/D</w:t>
            </w:r>
          </w:p>
        </w:tc>
      </w:tr>
      <w:tr w:rsidR="001768DE" w:rsidRPr="00E531FB" w14:paraId="4AC190C7" w14:textId="77777777" w:rsidTr="00353826">
        <w:tc>
          <w:tcPr>
            <w:tcW w:w="4324" w:type="dxa"/>
          </w:tcPr>
          <w:p w14:paraId="1C790787" w14:textId="43BDFCFF" w:rsidR="001768DE" w:rsidRPr="00E531FB" w:rsidRDefault="001768DE" w:rsidP="001768DE">
            <w:pPr>
              <w:pStyle w:val="ListParagraph"/>
              <w:numPr>
                <w:ilvl w:val="0"/>
                <w:numId w:val="3"/>
              </w:numPr>
            </w:pPr>
            <w:r w:rsidRPr="00E531FB">
              <w:t xml:space="preserve">Column </w:t>
            </w:r>
            <w:r w:rsidR="00353826">
              <w:t>F</w:t>
            </w:r>
          </w:p>
        </w:tc>
        <w:tc>
          <w:tcPr>
            <w:tcW w:w="4306" w:type="dxa"/>
          </w:tcPr>
          <w:p w14:paraId="6A228E7F" w14:textId="6ED0E3D2" w:rsidR="001768DE" w:rsidRPr="00E531FB" w:rsidRDefault="001768DE" w:rsidP="008D2B49">
            <w:pPr>
              <w:rPr>
                <w:rFonts w:ascii="Arial" w:hAnsi="Arial" w:cs="Arial"/>
              </w:rPr>
            </w:pPr>
            <w:r w:rsidRPr="00E531FB">
              <w:rPr>
                <w:rFonts w:ascii="Arial" w:hAnsi="Arial" w:cs="Arial"/>
              </w:rPr>
              <w:t>Reason Code: LR, FA, FI</w:t>
            </w:r>
          </w:p>
        </w:tc>
      </w:tr>
      <w:tr w:rsidR="001768DE" w:rsidRPr="00E531FB" w14:paraId="50699699" w14:textId="77777777" w:rsidTr="00353826">
        <w:tc>
          <w:tcPr>
            <w:tcW w:w="4324" w:type="dxa"/>
          </w:tcPr>
          <w:p w14:paraId="7EDBF8AF" w14:textId="0609AB11" w:rsidR="001768DE" w:rsidRPr="007C2DE4" w:rsidRDefault="001768DE" w:rsidP="001768DE">
            <w:pPr>
              <w:pStyle w:val="ListParagraph"/>
              <w:numPr>
                <w:ilvl w:val="0"/>
                <w:numId w:val="3"/>
              </w:numPr>
            </w:pPr>
            <w:r w:rsidRPr="007C2DE4">
              <w:t xml:space="preserve">Column </w:t>
            </w:r>
            <w:r w:rsidR="00353826" w:rsidRPr="007C2DE4">
              <w:t>G</w:t>
            </w:r>
          </w:p>
        </w:tc>
        <w:tc>
          <w:tcPr>
            <w:tcW w:w="4306" w:type="dxa"/>
          </w:tcPr>
          <w:p w14:paraId="57E03BF9" w14:textId="4EFFDBEA" w:rsidR="001768DE" w:rsidRPr="007C2DE4" w:rsidRDefault="001768DE" w:rsidP="008D2B49">
            <w:pPr>
              <w:rPr>
                <w:rFonts w:ascii="Arial" w:hAnsi="Arial" w:cs="Arial"/>
              </w:rPr>
            </w:pPr>
            <w:r w:rsidRPr="007C2DE4">
              <w:rPr>
                <w:rFonts w:ascii="Arial" w:hAnsi="Arial" w:cs="Arial"/>
              </w:rPr>
              <w:t>Source: Reference relevant Regulation</w:t>
            </w:r>
          </w:p>
        </w:tc>
      </w:tr>
      <w:tr w:rsidR="00353826" w:rsidRPr="00E531FB" w14:paraId="28A17243" w14:textId="77777777" w:rsidTr="00353826">
        <w:tc>
          <w:tcPr>
            <w:tcW w:w="4324" w:type="dxa"/>
          </w:tcPr>
          <w:p w14:paraId="5F416D28" w14:textId="34A7095D" w:rsidR="00353826" w:rsidRPr="007C2DE4" w:rsidRDefault="00353826" w:rsidP="001768DE">
            <w:pPr>
              <w:pStyle w:val="ListParagraph"/>
              <w:numPr>
                <w:ilvl w:val="0"/>
                <w:numId w:val="3"/>
              </w:numPr>
            </w:pPr>
            <w:r w:rsidRPr="007C2DE4">
              <w:t>Column H</w:t>
            </w:r>
          </w:p>
        </w:tc>
        <w:tc>
          <w:tcPr>
            <w:tcW w:w="4306" w:type="dxa"/>
          </w:tcPr>
          <w:p w14:paraId="6C05768A" w14:textId="2DF19344" w:rsidR="00353826" w:rsidRPr="007C2DE4" w:rsidRDefault="00353826" w:rsidP="008D2B49">
            <w:pPr>
              <w:rPr>
                <w:rFonts w:ascii="Arial" w:hAnsi="Arial" w:cs="Arial"/>
              </w:rPr>
            </w:pPr>
            <w:r w:rsidRPr="007C2DE4">
              <w:rPr>
                <w:rFonts w:ascii="Arial" w:hAnsi="Arial" w:cs="Arial"/>
              </w:rPr>
              <w:t>Source Notes</w:t>
            </w:r>
          </w:p>
        </w:tc>
      </w:tr>
      <w:tr w:rsidR="001768DE" w:rsidRPr="00E531FB" w14:paraId="5AE952DC" w14:textId="77777777" w:rsidTr="00353826">
        <w:tc>
          <w:tcPr>
            <w:tcW w:w="4324" w:type="dxa"/>
          </w:tcPr>
          <w:p w14:paraId="7DC34EEF" w14:textId="74458A0F" w:rsidR="001768DE" w:rsidRPr="007C2DE4" w:rsidRDefault="001768DE" w:rsidP="001768DE">
            <w:pPr>
              <w:pStyle w:val="ListParagraph"/>
              <w:numPr>
                <w:ilvl w:val="0"/>
                <w:numId w:val="3"/>
              </w:numPr>
            </w:pPr>
            <w:r w:rsidRPr="007C2DE4">
              <w:t xml:space="preserve">Column </w:t>
            </w:r>
            <w:r w:rsidR="00353826" w:rsidRPr="007C2DE4">
              <w:t>I</w:t>
            </w:r>
          </w:p>
        </w:tc>
        <w:tc>
          <w:tcPr>
            <w:tcW w:w="4306" w:type="dxa"/>
          </w:tcPr>
          <w:p w14:paraId="48B8217B" w14:textId="1BF7CCC3" w:rsidR="001768DE" w:rsidRPr="007C2DE4" w:rsidRDefault="001768DE" w:rsidP="008D2B49">
            <w:pPr>
              <w:rPr>
                <w:rFonts w:ascii="Arial" w:hAnsi="Arial" w:cs="Arial"/>
              </w:rPr>
            </w:pPr>
            <w:r w:rsidRPr="007C2DE4">
              <w:rPr>
                <w:rFonts w:ascii="Arial" w:hAnsi="Arial" w:cs="Arial"/>
              </w:rPr>
              <w:t>Effective Date</w:t>
            </w:r>
          </w:p>
        </w:tc>
      </w:tr>
      <w:tr w:rsidR="001768DE" w:rsidRPr="00E531FB" w14:paraId="3B8E0B4F" w14:textId="77777777" w:rsidTr="00353826">
        <w:tc>
          <w:tcPr>
            <w:tcW w:w="4324" w:type="dxa"/>
          </w:tcPr>
          <w:p w14:paraId="441CA055" w14:textId="485D2E3F" w:rsidR="001768DE" w:rsidRPr="007C2DE4" w:rsidRDefault="001768DE" w:rsidP="001768DE">
            <w:pPr>
              <w:pStyle w:val="ListParagraph"/>
              <w:numPr>
                <w:ilvl w:val="0"/>
                <w:numId w:val="3"/>
              </w:numPr>
            </w:pPr>
            <w:r w:rsidRPr="007C2DE4">
              <w:t xml:space="preserve">Column </w:t>
            </w:r>
            <w:r w:rsidR="00353826" w:rsidRPr="007C2DE4">
              <w:t>J</w:t>
            </w:r>
          </w:p>
        </w:tc>
        <w:tc>
          <w:tcPr>
            <w:tcW w:w="4306" w:type="dxa"/>
          </w:tcPr>
          <w:p w14:paraId="193FB1A0" w14:textId="112F2A63" w:rsidR="001768DE" w:rsidRPr="007C2DE4" w:rsidRDefault="001768DE" w:rsidP="008D2B49">
            <w:pPr>
              <w:rPr>
                <w:rFonts w:ascii="Arial" w:hAnsi="Arial" w:cs="Arial"/>
              </w:rPr>
            </w:pPr>
            <w:r w:rsidRPr="007C2DE4">
              <w:rPr>
                <w:rFonts w:ascii="Arial" w:hAnsi="Arial" w:cs="Arial"/>
              </w:rPr>
              <w:t>Action Required</w:t>
            </w:r>
          </w:p>
        </w:tc>
      </w:tr>
      <w:tr w:rsidR="001768DE" w:rsidRPr="00E531FB" w14:paraId="43993595" w14:textId="77777777" w:rsidTr="00353826">
        <w:tc>
          <w:tcPr>
            <w:tcW w:w="4324" w:type="dxa"/>
          </w:tcPr>
          <w:p w14:paraId="10234DD4" w14:textId="2E2EDED3" w:rsidR="001768DE" w:rsidRPr="007C2DE4" w:rsidRDefault="001768DE" w:rsidP="001768DE">
            <w:pPr>
              <w:pStyle w:val="ListParagraph"/>
              <w:numPr>
                <w:ilvl w:val="0"/>
                <w:numId w:val="3"/>
              </w:numPr>
            </w:pPr>
            <w:r w:rsidRPr="007C2DE4">
              <w:t xml:space="preserve">Column </w:t>
            </w:r>
            <w:r w:rsidR="00353826" w:rsidRPr="007C2DE4">
              <w:t>K</w:t>
            </w:r>
          </w:p>
        </w:tc>
        <w:tc>
          <w:tcPr>
            <w:tcW w:w="4306" w:type="dxa"/>
          </w:tcPr>
          <w:p w14:paraId="356D77C9" w14:textId="5DCC6D30" w:rsidR="001768DE" w:rsidRPr="007C2DE4" w:rsidRDefault="001768DE" w:rsidP="008D2B49">
            <w:pPr>
              <w:rPr>
                <w:rFonts w:ascii="Arial" w:hAnsi="Arial" w:cs="Arial"/>
              </w:rPr>
            </w:pPr>
            <w:r w:rsidRPr="007C2DE4">
              <w:rPr>
                <w:rFonts w:ascii="Arial" w:hAnsi="Arial" w:cs="Arial"/>
              </w:rPr>
              <w:t>Generic Examples: Present Substance in typical applications</w:t>
            </w:r>
          </w:p>
        </w:tc>
      </w:tr>
      <w:tr w:rsidR="001768DE" w:rsidRPr="00E531FB" w14:paraId="32DE5390" w14:textId="77777777" w:rsidTr="00353826">
        <w:tc>
          <w:tcPr>
            <w:tcW w:w="4324" w:type="dxa"/>
          </w:tcPr>
          <w:p w14:paraId="67A96D9E" w14:textId="0E93A9F2" w:rsidR="001768DE" w:rsidRPr="007C2DE4" w:rsidRDefault="001768DE" w:rsidP="001768DE">
            <w:pPr>
              <w:pStyle w:val="ListParagraph"/>
              <w:numPr>
                <w:ilvl w:val="0"/>
                <w:numId w:val="3"/>
              </w:numPr>
            </w:pPr>
            <w:r w:rsidRPr="007C2DE4">
              <w:t xml:space="preserve">Column </w:t>
            </w:r>
            <w:r w:rsidR="00353826" w:rsidRPr="007C2DE4">
              <w:t>L</w:t>
            </w:r>
          </w:p>
        </w:tc>
        <w:tc>
          <w:tcPr>
            <w:tcW w:w="4306" w:type="dxa"/>
          </w:tcPr>
          <w:p w14:paraId="69DF3417" w14:textId="4635AAD5" w:rsidR="001768DE" w:rsidRPr="007C2DE4" w:rsidRDefault="00353826" w:rsidP="008D2B49">
            <w:pPr>
              <w:rPr>
                <w:rFonts w:ascii="Arial" w:hAnsi="Arial" w:cs="Arial"/>
              </w:rPr>
            </w:pPr>
            <w:r w:rsidRPr="007C2DE4">
              <w:rPr>
                <w:rFonts w:ascii="Arial" w:hAnsi="Arial" w:cs="Arial"/>
              </w:rPr>
              <w:t>Threshold Reporting Value</w:t>
            </w:r>
            <w:r w:rsidR="001768DE" w:rsidRPr="007C2DE4">
              <w:rPr>
                <w:rFonts w:ascii="Arial" w:hAnsi="Arial" w:cs="Arial"/>
              </w:rPr>
              <w:t>: Defaul</w:t>
            </w:r>
            <w:r w:rsidR="00ED324B" w:rsidRPr="007C2DE4">
              <w:rPr>
                <w:rFonts w:ascii="Arial" w:hAnsi="Arial" w:cs="Arial"/>
              </w:rPr>
              <w:t>t</w:t>
            </w:r>
            <w:r w:rsidR="001768DE" w:rsidRPr="007C2DE4">
              <w:rPr>
                <w:rFonts w:ascii="Arial" w:hAnsi="Arial" w:cs="Arial"/>
              </w:rPr>
              <w:t xml:space="preserve"> shall be .01% (percent by weight)</w:t>
            </w:r>
          </w:p>
        </w:tc>
      </w:tr>
      <w:tr w:rsidR="00353826" w:rsidRPr="00E531FB" w14:paraId="6F23E16F" w14:textId="77777777" w:rsidTr="00353826">
        <w:tc>
          <w:tcPr>
            <w:tcW w:w="4324" w:type="dxa"/>
          </w:tcPr>
          <w:p w14:paraId="313E6E23" w14:textId="07D43593" w:rsidR="00353826" w:rsidRPr="007C2DE4" w:rsidRDefault="00353826" w:rsidP="001768DE">
            <w:pPr>
              <w:pStyle w:val="ListParagraph"/>
              <w:numPr>
                <w:ilvl w:val="0"/>
                <w:numId w:val="3"/>
              </w:numPr>
            </w:pPr>
            <w:r w:rsidRPr="007C2DE4">
              <w:t>Column M</w:t>
            </w:r>
          </w:p>
        </w:tc>
        <w:tc>
          <w:tcPr>
            <w:tcW w:w="4306" w:type="dxa"/>
          </w:tcPr>
          <w:p w14:paraId="4313F17B" w14:textId="0D4C799A" w:rsidR="00353826" w:rsidRPr="007C2DE4" w:rsidRDefault="00353826" w:rsidP="008D2B49">
            <w:pPr>
              <w:rPr>
                <w:rFonts w:ascii="Arial" w:hAnsi="Arial" w:cs="Arial"/>
              </w:rPr>
            </w:pPr>
            <w:r w:rsidRPr="007C2DE4">
              <w:rPr>
                <w:rFonts w:ascii="Arial" w:hAnsi="Arial" w:cs="Arial"/>
              </w:rPr>
              <w:t>Threshold notes</w:t>
            </w:r>
          </w:p>
        </w:tc>
      </w:tr>
      <w:tr w:rsidR="001768DE" w:rsidRPr="00E531FB" w14:paraId="10151C49" w14:textId="77777777" w:rsidTr="007C2DE4">
        <w:trPr>
          <w:trHeight w:val="64"/>
        </w:trPr>
        <w:tc>
          <w:tcPr>
            <w:tcW w:w="4324" w:type="dxa"/>
          </w:tcPr>
          <w:p w14:paraId="163882CC" w14:textId="7D1D9644" w:rsidR="001768DE" w:rsidRPr="00E531FB" w:rsidRDefault="001768DE" w:rsidP="001768DE">
            <w:pPr>
              <w:pStyle w:val="ListParagraph"/>
              <w:numPr>
                <w:ilvl w:val="0"/>
                <w:numId w:val="3"/>
              </w:numPr>
            </w:pPr>
            <w:r w:rsidRPr="00E531FB">
              <w:t xml:space="preserve">Column </w:t>
            </w:r>
            <w:r w:rsidR="00353826">
              <w:t>N</w:t>
            </w:r>
          </w:p>
        </w:tc>
        <w:tc>
          <w:tcPr>
            <w:tcW w:w="4306" w:type="dxa"/>
          </w:tcPr>
          <w:p w14:paraId="10FE8A87" w14:textId="20B85022" w:rsidR="001768DE" w:rsidRPr="00E531FB" w:rsidRDefault="001768DE" w:rsidP="008D2B49">
            <w:pPr>
              <w:rPr>
                <w:rFonts w:ascii="Arial" w:hAnsi="Arial" w:cs="Arial"/>
              </w:rPr>
            </w:pPr>
            <w:r w:rsidRPr="00E531FB">
              <w:rPr>
                <w:rFonts w:ascii="Arial" w:hAnsi="Arial" w:cs="Arial"/>
              </w:rPr>
              <w:t xml:space="preserve">Date First Added </w:t>
            </w:r>
          </w:p>
        </w:tc>
      </w:tr>
      <w:tr w:rsidR="001768DE" w:rsidRPr="00E531FB" w14:paraId="7AEAA607" w14:textId="77777777" w:rsidTr="00353826">
        <w:tc>
          <w:tcPr>
            <w:tcW w:w="4324" w:type="dxa"/>
          </w:tcPr>
          <w:p w14:paraId="14EADBB0" w14:textId="5F986457" w:rsidR="001768DE" w:rsidRPr="00E531FB" w:rsidRDefault="001768DE" w:rsidP="001768DE">
            <w:pPr>
              <w:pStyle w:val="ListParagraph"/>
              <w:numPr>
                <w:ilvl w:val="0"/>
                <w:numId w:val="3"/>
              </w:numPr>
            </w:pPr>
            <w:r w:rsidRPr="00E531FB">
              <w:t xml:space="preserve">Column </w:t>
            </w:r>
            <w:r w:rsidR="00353826">
              <w:t>O</w:t>
            </w:r>
          </w:p>
        </w:tc>
        <w:tc>
          <w:tcPr>
            <w:tcW w:w="4306" w:type="dxa"/>
          </w:tcPr>
          <w:p w14:paraId="10FAA723" w14:textId="5342351E" w:rsidR="001768DE" w:rsidRPr="00E531FB" w:rsidRDefault="001768DE" w:rsidP="008D2B49">
            <w:pPr>
              <w:rPr>
                <w:rFonts w:ascii="Arial" w:hAnsi="Arial" w:cs="Arial"/>
              </w:rPr>
            </w:pPr>
            <w:r w:rsidRPr="00E531FB">
              <w:rPr>
                <w:rFonts w:ascii="Arial" w:hAnsi="Arial" w:cs="Arial"/>
              </w:rPr>
              <w:t>Date Last Revised</w:t>
            </w:r>
          </w:p>
        </w:tc>
      </w:tr>
    </w:tbl>
    <w:p w14:paraId="2929DD51" w14:textId="630B37A1" w:rsidR="008D2B49" w:rsidRPr="00E531FB" w:rsidRDefault="008D2B49" w:rsidP="008D2B49">
      <w:pPr>
        <w:ind w:left="720"/>
        <w:rPr>
          <w:rFonts w:ascii="Arial" w:hAnsi="Arial" w:cs="Arial"/>
        </w:rPr>
      </w:pPr>
    </w:p>
    <w:p w14:paraId="474C264B" w14:textId="5675871C" w:rsidR="00353826" w:rsidRPr="007C2DE4" w:rsidRDefault="00353826" w:rsidP="003200D4">
      <w:pPr>
        <w:pStyle w:val="Heading2"/>
        <w:rPr>
          <w:rFonts w:ascii="Arial" w:hAnsi="Arial" w:cs="Arial"/>
        </w:rPr>
      </w:pPr>
      <w:bookmarkStart w:id="11" w:name="_Toc206706880"/>
      <w:r w:rsidRPr="007C2DE4">
        <w:rPr>
          <w:rFonts w:ascii="Arial" w:hAnsi="Arial" w:cs="Arial"/>
        </w:rPr>
        <w:t>HEDSL Tabs</w:t>
      </w:r>
      <w:bookmarkEnd w:id="11"/>
    </w:p>
    <w:p w14:paraId="5A90A1E3" w14:textId="0BE47011" w:rsidR="00353826" w:rsidRPr="007C2DE4" w:rsidRDefault="00353826" w:rsidP="00353826">
      <w:r w:rsidRPr="007C2DE4">
        <w:t>The HEDSL list shall include a series of tabs to provide the recipient with helpful information</w:t>
      </w:r>
    </w:p>
    <w:p w14:paraId="3EFED7E3" w14:textId="74F11A49" w:rsidR="00353826" w:rsidRPr="007C2DE4" w:rsidRDefault="00353826" w:rsidP="00353826">
      <w:pPr>
        <w:pStyle w:val="Heading2"/>
        <w:rPr>
          <w:b/>
          <w:bCs/>
        </w:rPr>
      </w:pPr>
      <w:bookmarkStart w:id="12" w:name="_Toc206706881"/>
      <w:r w:rsidRPr="007C2DE4">
        <w:rPr>
          <w:b/>
          <w:bCs/>
        </w:rPr>
        <w:t>Reference List</w:t>
      </w:r>
      <w:bookmarkEnd w:id="12"/>
    </w:p>
    <w:p w14:paraId="276CF000" w14:textId="744E4587" w:rsidR="00353826" w:rsidRDefault="00353826" w:rsidP="00353826">
      <w:r w:rsidRPr="007C2DE4">
        <w:t>This tab provides the full HEDSL List, with the columns provided in Table 1.</w:t>
      </w:r>
    </w:p>
    <w:p w14:paraId="158C8778" w14:textId="2CC1C249" w:rsidR="00353826" w:rsidRPr="007C2DE4" w:rsidRDefault="00353826" w:rsidP="00353826">
      <w:pPr>
        <w:pStyle w:val="Heading2"/>
        <w:rPr>
          <w:b/>
          <w:bCs/>
        </w:rPr>
      </w:pPr>
      <w:bookmarkStart w:id="13" w:name="_Toc206706882"/>
      <w:r w:rsidRPr="007C2DE4">
        <w:rPr>
          <w:b/>
          <w:bCs/>
        </w:rPr>
        <w:t>Divergences</w:t>
      </w:r>
      <w:bookmarkEnd w:id="13"/>
    </w:p>
    <w:p w14:paraId="795BF58C" w14:textId="3BF7286F" w:rsidR="00353826" w:rsidRPr="007C2DE4" w:rsidRDefault="00353826" w:rsidP="00353826">
      <w:r w:rsidRPr="007C2DE4">
        <w:t xml:space="preserve">This tab provides information on the divergences between the HEDSL and other declarable substance lists. Reasons for </w:t>
      </w:r>
      <w:r w:rsidR="00AB3DDF" w:rsidRPr="007C2DE4">
        <w:t>divergence</w:t>
      </w:r>
      <w:r w:rsidRPr="007C2DE4">
        <w:t>:</w:t>
      </w:r>
    </w:p>
    <w:p w14:paraId="4FBFF68E" w14:textId="4A2C0966" w:rsidR="00353826" w:rsidRPr="007C2DE4" w:rsidRDefault="00353826" w:rsidP="00353826">
      <w:pPr>
        <w:pStyle w:val="ListParagraph"/>
        <w:numPr>
          <w:ilvl w:val="0"/>
          <w:numId w:val="9"/>
        </w:numPr>
      </w:pPr>
      <w:r w:rsidRPr="007C2DE4">
        <w:t>Process chemicals</w:t>
      </w:r>
    </w:p>
    <w:p w14:paraId="198018C9" w14:textId="1F8F6B5F" w:rsidR="00353826" w:rsidRPr="007C2DE4" w:rsidRDefault="00353826" w:rsidP="00353826">
      <w:pPr>
        <w:pStyle w:val="ListParagraph"/>
        <w:numPr>
          <w:ilvl w:val="0"/>
          <w:numId w:val="9"/>
        </w:numPr>
      </w:pPr>
      <w:r w:rsidRPr="007C2DE4">
        <w:t>Regulatory differences between the non-road and on-road industries.</w:t>
      </w:r>
    </w:p>
    <w:p w14:paraId="76623FCA" w14:textId="101BF9F6" w:rsidR="00353826" w:rsidRPr="007C2DE4" w:rsidRDefault="00353826" w:rsidP="00353826">
      <w:pPr>
        <w:pStyle w:val="ListParagraph"/>
        <w:numPr>
          <w:ilvl w:val="0"/>
          <w:numId w:val="9"/>
        </w:numPr>
      </w:pPr>
      <w:r w:rsidRPr="007C2DE4">
        <w:t>Differences in chemical use cases (i.e., regulations focused on chemicals in children’s car seats)</w:t>
      </w:r>
    </w:p>
    <w:p w14:paraId="481B5582" w14:textId="77777777" w:rsidR="007C2DE4" w:rsidRPr="007C2DE4" w:rsidRDefault="007C2DE4" w:rsidP="007C2DE4">
      <w:pPr>
        <w:pStyle w:val="ListParagraph"/>
      </w:pPr>
    </w:p>
    <w:p w14:paraId="6BF25A49" w14:textId="50B27EE5" w:rsidR="00353826" w:rsidRPr="00353826" w:rsidRDefault="00353826" w:rsidP="00353826">
      <w:r w:rsidRPr="007C2DE4">
        <w:t>Divergences are to be held and reviewed for relevance on an annual basis.</w:t>
      </w:r>
    </w:p>
    <w:p w14:paraId="79F102F9" w14:textId="3F53CA6D" w:rsidR="00353826" w:rsidRPr="007C2DE4" w:rsidRDefault="00353826" w:rsidP="00353826">
      <w:pPr>
        <w:pStyle w:val="Heading2"/>
        <w:rPr>
          <w:b/>
          <w:bCs/>
        </w:rPr>
      </w:pPr>
      <w:bookmarkStart w:id="14" w:name="_Toc206706883"/>
      <w:r w:rsidRPr="007C2DE4">
        <w:rPr>
          <w:b/>
          <w:bCs/>
        </w:rPr>
        <w:t xml:space="preserve">Changes From </w:t>
      </w:r>
      <w:proofErr w:type="gramStart"/>
      <w:r w:rsidRPr="007C2DE4">
        <w:rPr>
          <w:b/>
          <w:bCs/>
        </w:rPr>
        <w:t>last</w:t>
      </w:r>
      <w:proofErr w:type="gramEnd"/>
      <w:r w:rsidRPr="007C2DE4">
        <w:rPr>
          <w:b/>
          <w:bCs/>
        </w:rPr>
        <w:t xml:space="preserve"> Version</w:t>
      </w:r>
      <w:bookmarkEnd w:id="14"/>
    </w:p>
    <w:p w14:paraId="13C2D131" w14:textId="7C3C7182" w:rsidR="00353826" w:rsidRPr="007C2DE4" w:rsidRDefault="00353826" w:rsidP="00353826">
      <w:r w:rsidRPr="007C2DE4">
        <w:t xml:space="preserve">This tab provides details </w:t>
      </w:r>
      <w:proofErr w:type="gramStart"/>
      <w:r w:rsidRPr="007C2DE4">
        <w:t>on</w:t>
      </w:r>
      <w:proofErr w:type="gramEnd"/>
      <w:r w:rsidRPr="007C2DE4">
        <w:t xml:space="preserve"> the changes made to the document from the previous version.</w:t>
      </w:r>
    </w:p>
    <w:p w14:paraId="41DFB7C7" w14:textId="215A013A" w:rsidR="00353826" w:rsidRPr="007C2DE4" w:rsidRDefault="00353826" w:rsidP="00353826">
      <w:pPr>
        <w:pStyle w:val="Heading2"/>
        <w:rPr>
          <w:b/>
          <w:bCs/>
        </w:rPr>
      </w:pPr>
      <w:bookmarkStart w:id="15" w:name="_Toc206706884"/>
      <w:r w:rsidRPr="007C2DE4">
        <w:rPr>
          <w:b/>
          <w:bCs/>
        </w:rPr>
        <w:t>Version-Disclaimer-information</w:t>
      </w:r>
      <w:bookmarkEnd w:id="15"/>
    </w:p>
    <w:p w14:paraId="6739455D" w14:textId="0DCE7579" w:rsidR="00353826" w:rsidRPr="00353826" w:rsidRDefault="00353826" w:rsidP="00353826">
      <w:r w:rsidRPr="007C2DE4">
        <w:t>This tab provides the version control information, a disclaimer regarding the use of this document, as well as some useful information regarding the nomenclature found on the reference list tab.</w:t>
      </w:r>
    </w:p>
    <w:p w14:paraId="40621672" w14:textId="1A443FB1" w:rsidR="001768DE" w:rsidRPr="00E531FB" w:rsidRDefault="001768DE" w:rsidP="003200D4">
      <w:pPr>
        <w:pStyle w:val="Heading2"/>
        <w:rPr>
          <w:rFonts w:ascii="Arial" w:hAnsi="Arial" w:cs="Arial"/>
        </w:rPr>
      </w:pPr>
      <w:bookmarkStart w:id="16" w:name="_Toc206706885"/>
      <w:r w:rsidRPr="00E531FB">
        <w:rPr>
          <w:rFonts w:ascii="Arial" w:hAnsi="Arial" w:cs="Arial"/>
        </w:rPr>
        <w:t>Definition of a substance and/or substance group</w:t>
      </w:r>
      <w:bookmarkEnd w:id="16"/>
    </w:p>
    <w:p w14:paraId="53456D32" w14:textId="297AF19B" w:rsidR="001768DE" w:rsidRPr="00E531FB" w:rsidRDefault="001768DE" w:rsidP="001768DE">
      <w:pPr>
        <w:pStyle w:val="ListParagraph"/>
        <w:ind w:left="1080"/>
        <w:rPr>
          <w:u w:val="single"/>
        </w:rPr>
      </w:pPr>
    </w:p>
    <w:p w14:paraId="50E43523" w14:textId="590F6A6A" w:rsidR="001768DE" w:rsidRPr="00E531FB" w:rsidRDefault="001768DE" w:rsidP="003200D4">
      <w:pPr>
        <w:rPr>
          <w:rFonts w:ascii="Arial" w:hAnsi="Arial" w:cs="Arial"/>
        </w:rPr>
      </w:pPr>
      <w:r w:rsidRPr="00E531FB">
        <w:rPr>
          <w:rFonts w:ascii="Arial" w:hAnsi="Arial" w:cs="Arial"/>
        </w:rPr>
        <w:t xml:space="preserve">Certain substances are grouped together for ease of reference. They include elements and their compounds (e.g. lead and its compounds), organic compound series (e.g. Nonylphenol ethoxylates) and compounds with the same risk profile (e.g. Ozone depleting halogenated Hydrocarbons and Carbons). These entries are marked as “All Members”. </w:t>
      </w:r>
      <w:proofErr w:type="gramStart"/>
      <w:r w:rsidRPr="00E531FB">
        <w:rPr>
          <w:rFonts w:ascii="Arial" w:hAnsi="Arial" w:cs="Arial"/>
        </w:rPr>
        <w:t xml:space="preserve">The </w:t>
      </w:r>
      <w:r w:rsidR="00ED324B" w:rsidRPr="00E531FB">
        <w:rPr>
          <w:rFonts w:ascii="Arial" w:hAnsi="Arial" w:cs="Arial"/>
        </w:rPr>
        <w:t>HE</w:t>
      </w:r>
      <w:r w:rsidRPr="00E531FB">
        <w:rPr>
          <w:rFonts w:ascii="Arial" w:hAnsi="Arial" w:cs="Arial"/>
        </w:rPr>
        <w:t>DSL</w:t>
      </w:r>
      <w:proofErr w:type="gramEnd"/>
      <w:r w:rsidRPr="00E531FB">
        <w:rPr>
          <w:rFonts w:ascii="Arial" w:hAnsi="Arial" w:cs="Arial"/>
        </w:rPr>
        <w:t xml:space="preserve"> </w:t>
      </w:r>
      <w:r w:rsidRPr="00E531FB">
        <w:rPr>
          <w:rFonts w:ascii="Arial" w:hAnsi="Arial" w:cs="Arial"/>
        </w:rPr>
        <w:lastRenderedPageBreak/>
        <w:t xml:space="preserve">generally provides a comprehensive listing of such substances. Therefore, there is a need to </w:t>
      </w:r>
      <w:proofErr w:type="gramStart"/>
      <w:r w:rsidRPr="00E531FB">
        <w:rPr>
          <w:rFonts w:ascii="Arial" w:hAnsi="Arial" w:cs="Arial"/>
        </w:rPr>
        <w:t>consider for</w:t>
      </w:r>
      <w:proofErr w:type="gramEnd"/>
      <w:r w:rsidRPr="00E531FB">
        <w:rPr>
          <w:rFonts w:ascii="Arial" w:hAnsi="Arial" w:cs="Arial"/>
        </w:rPr>
        <w:t xml:space="preserve"> </w:t>
      </w:r>
      <w:proofErr w:type="gramStart"/>
      <w:r w:rsidRPr="00E531FB">
        <w:rPr>
          <w:rFonts w:ascii="Arial" w:hAnsi="Arial" w:cs="Arial"/>
        </w:rPr>
        <w:t>declaration</w:t>
      </w:r>
      <w:proofErr w:type="gramEnd"/>
      <w:r w:rsidRPr="00E531FB">
        <w:rPr>
          <w:rFonts w:ascii="Arial" w:hAnsi="Arial" w:cs="Arial"/>
        </w:rPr>
        <w:t xml:space="preserve"> any substance belonging to a substance group within </w:t>
      </w:r>
      <w:r w:rsidR="00ED324B" w:rsidRPr="00E531FB">
        <w:rPr>
          <w:rFonts w:ascii="Arial" w:hAnsi="Arial" w:cs="Arial"/>
        </w:rPr>
        <w:t>HE</w:t>
      </w:r>
      <w:r w:rsidRPr="00E531FB">
        <w:rPr>
          <w:rFonts w:ascii="Arial" w:hAnsi="Arial" w:cs="Arial"/>
        </w:rPr>
        <w:t xml:space="preserve">DSL irrespective of whether it appears individually in </w:t>
      </w:r>
      <w:proofErr w:type="gramStart"/>
      <w:r w:rsidRPr="00E531FB">
        <w:rPr>
          <w:rFonts w:ascii="Arial" w:hAnsi="Arial" w:cs="Arial"/>
        </w:rPr>
        <w:t xml:space="preserve">the </w:t>
      </w:r>
      <w:r w:rsidR="00ED324B" w:rsidRPr="00E531FB">
        <w:rPr>
          <w:rFonts w:ascii="Arial" w:hAnsi="Arial" w:cs="Arial"/>
        </w:rPr>
        <w:t>HE</w:t>
      </w:r>
      <w:r w:rsidRPr="00E531FB">
        <w:rPr>
          <w:rFonts w:ascii="Arial" w:hAnsi="Arial" w:cs="Arial"/>
        </w:rPr>
        <w:t>DSL</w:t>
      </w:r>
      <w:proofErr w:type="gramEnd"/>
      <w:r w:rsidRPr="00E531FB">
        <w:rPr>
          <w:rFonts w:ascii="Arial" w:hAnsi="Arial" w:cs="Arial"/>
        </w:rPr>
        <w:t xml:space="preserve">. In contrast, an entry designated as “selected” refers only to a limited list of substances within a group, each of which individually meets the criteria for being declarable or prohibited. Other members of the group are not within </w:t>
      </w:r>
      <w:proofErr w:type="gramStart"/>
      <w:r w:rsidRPr="00E531FB">
        <w:rPr>
          <w:rFonts w:ascii="Arial" w:hAnsi="Arial" w:cs="Arial"/>
        </w:rPr>
        <w:t>scope</w:t>
      </w:r>
      <w:proofErr w:type="gramEnd"/>
      <w:r w:rsidRPr="00E531FB">
        <w:rPr>
          <w:rFonts w:ascii="Arial" w:hAnsi="Arial" w:cs="Arial"/>
        </w:rPr>
        <w:t xml:space="preserve"> of </w:t>
      </w:r>
      <w:r w:rsidR="00ED324B" w:rsidRPr="00E531FB">
        <w:rPr>
          <w:rFonts w:ascii="Arial" w:hAnsi="Arial" w:cs="Arial"/>
        </w:rPr>
        <w:t>HE</w:t>
      </w:r>
      <w:r w:rsidRPr="00E531FB">
        <w:rPr>
          <w:rFonts w:ascii="Arial" w:hAnsi="Arial" w:cs="Arial"/>
        </w:rPr>
        <w:t xml:space="preserve">DSL. An example of such a limited entry is that for "Phthalates, selected" which specifically targets certain phthalates that are recognized and regulated as toxic to reproduction, e.g. DEHP. </w:t>
      </w:r>
      <w:proofErr w:type="gramStart"/>
      <w:r w:rsidRPr="00E531FB">
        <w:rPr>
          <w:rFonts w:ascii="Arial" w:hAnsi="Arial" w:cs="Arial"/>
        </w:rPr>
        <w:t xml:space="preserve">The </w:t>
      </w:r>
      <w:r w:rsidR="00ED324B" w:rsidRPr="00E531FB">
        <w:rPr>
          <w:rFonts w:ascii="Arial" w:hAnsi="Arial" w:cs="Arial"/>
        </w:rPr>
        <w:t>HE</w:t>
      </w:r>
      <w:r w:rsidRPr="00E531FB">
        <w:rPr>
          <w:rFonts w:ascii="Arial" w:hAnsi="Arial" w:cs="Arial"/>
        </w:rPr>
        <w:t>DSL</w:t>
      </w:r>
      <w:proofErr w:type="gramEnd"/>
      <w:r w:rsidRPr="00E531FB">
        <w:rPr>
          <w:rFonts w:ascii="Arial" w:hAnsi="Arial" w:cs="Arial"/>
        </w:rPr>
        <w:t xml:space="preserve"> should always be consulted in such cases since it specifies the affected substances together with their CAS N</w:t>
      </w:r>
      <w:r w:rsidR="00ED324B" w:rsidRPr="00E531FB">
        <w:rPr>
          <w:rFonts w:ascii="Arial" w:hAnsi="Arial" w:cs="Arial"/>
        </w:rPr>
        <w:t>umber</w:t>
      </w:r>
      <w:r w:rsidRPr="00E531FB">
        <w:rPr>
          <w:rFonts w:ascii="Arial" w:hAnsi="Arial" w:cs="Arial"/>
        </w:rPr>
        <w:t xml:space="preserve">. Some substances may appear twice in </w:t>
      </w:r>
      <w:r w:rsidR="00ED324B" w:rsidRPr="00E531FB">
        <w:rPr>
          <w:rFonts w:ascii="Arial" w:hAnsi="Arial" w:cs="Arial"/>
        </w:rPr>
        <w:t>HE</w:t>
      </w:r>
      <w:r w:rsidRPr="00E531FB">
        <w:rPr>
          <w:rFonts w:ascii="Arial" w:hAnsi="Arial" w:cs="Arial"/>
        </w:rPr>
        <w:t xml:space="preserve">DSL as they belong to different groups (e.g. Chromium lead oxide: </w:t>
      </w:r>
      <w:proofErr w:type="gramStart"/>
      <w:r w:rsidRPr="00E531FB">
        <w:rPr>
          <w:rFonts w:ascii="Arial" w:hAnsi="Arial" w:cs="Arial"/>
        </w:rPr>
        <w:t>Chromium(</w:t>
      </w:r>
      <w:proofErr w:type="gramEnd"/>
      <w:r w:rsidRPr="00E531FB">
        <w:rPr>
          <w:rFonts w:ascii="Arial" w:hAnsi="Arial" w:cs="Arial"/>
        </w:rPr>
        <w:t>VI)-salts, all members, and Lead and its compounds, all members).</w:t>
      </w:r>
    </w:p>
    <w:p w14:paraId="07422EB7" w14:textId="34FB6C9E" w:rsidR="001768DE" w:rsidRPr="00E531FB" w:rsidRDefault="001768DE" w:rsidP="001768DE">
      <w:pPr>
        <w:pStyle w:val="Heading1"/>
        <w:rPr>
          <w:rFonts w:ascii="Arial" w:hAnsi="Arial" w:cs="Arial"/>
        </w:rPr>
      </w:pPr>
      <w:bookmarkStart w:id="17" w:name="_Toc206706886"/>
      <w:r w:rsidRPr="00E531FB">
        <w:rPr>
          <w:rFonts w:ascii="Arial" w:hAnsi="Arial" w:cs="Arial"/>
        </w:rPr>
        <w:t>Rules of Declaration:</w:t>
      </w:r>
      <w:bookmarkEnd w:id="17"/>
    </w:p>
    <w:p w14:paraId="43ECCF57" w14:textId="008DB75C" w:rsidR="001768DE" w:rsidRPr="00E531FB" w:rsidRDefault="001768DE" w:rsidP="001768DE">
      <w:pPr>
        <w:rPr>
          <w:rFonts w:ascii="Arial" w:hAnsi="Arial" w:cs="Arial"/>
        </w:rPr>
      </w:pPr>
      <w:r w:rsidRPr="00E531FB">
        <w:rPr>
          <w:rFonts w:ascii="Arial" w:hAnsi="Arial" w:cs="Arial"/>
        </w:rPr>
        <w:t>The following section outlines specific examples, concepts and processes for properly classifying and designating new substance additions to the HEDSL:</w:t>
      </w:r>
    </w:p>
    <w:p w14:paraId="57C0004A" w14:textId="3F725367" w:rsidR="001768DE" w:rsidRPr="00E531FB" w:rsidRDefault="001768DE" w:rsidP="001768DE">
      <w:pPr>
        <w:pStyle w:val="Heading2"/>
        <w:rPr>
          <w:rFonts w:ascii="Arial" w:hAnsi="Arial" w:cs="Arial"/>
        </w:rPr>
      </w:pPr>
      <w:bookmarkStart w:id="18" w:name="_Toc206706887"/>
      <w:r w:rsidRPr="00E531FB">
        <w:rPr>
          <w:rFonts w:ascii="Arial" w:hAnsi="Arial" w:cs="Arial"/>
        </w:rPr>
        <w:t xml:space="preserve">Declaration of metal containing </w:t>
      </w:r>
      <w:r w:rsidR="00ED324B" w:rsidRPr="00E531FB">
        <w:rPr>
          <w:rFonts w:ascii="Arial" w:hAnsi="Arial" w:cs="Arial"/>
        </w:rPr>
        <w:t>m</w:t>
      </w:r>
      <w:r w:rsidRPr="00E531FB">
        <w:rPr>
          <w:rFonts w:ascii="Arial" w:hAnsi="Arial" w:cs="Arial"/>
        </w:rPr>
        <w:t>aterials</w:t>
      </w:r>
      <w:bookmarkEnd w:id="18"/>
    </w:p>
    <w:p w14:paraId="71E952A9" w14:textId="515E8E81" w:rsidR="001768DE" w:rsidRPr="00E531FB" w:rsidRDefault="001768DE" w:rsidP="003200D4">
      <w:pPr>
        <w:rPr>
          <w:rFonts w:ascii="Arial" w:hAnsi="Arial" w:cs="Arial"/>
        </w:rPr>
      </w:pPr>
      <w:r w:rsidRPr="00E531FB">
        <w:rPr>
          <w:rFonts w:ascii="Arial" w:hAnsi="Arial" w:cs="Arial"/>
        </w:rPr>
        <w:t>If a material contains a metal and the metal is declarable, the 0.1 weight % threshold applies for the metal content. Example: A wire contains 1.6% of a material that is 25% metal. The metal is declarable because its weight % is 0.4% in the wire. (1.6% x 25%/100% = &gt;0.4%)</w:t>
      </w:r>
    </w:p>
    <w:p w14:paraId="507B943F" w14:textId="2A3CAE7E" w:rsidR="001768DE" w:rsidRPr="00E531FB" w:rsidRDefault="001768DE" w:rsidP="003200D4">
      <w:pPr>
        <w:pStyle w:val="Heading2"/>
        <w:rPr>
          <w:rFonts w:ascii="Arial" w:hAnsi="Arial" w:cs="Arial"/>
        </w:rPr>
      </w:pPr>
      <w:bookmarkStart w:id="19" w:name="_Toc206706888"/>
      <w:r w:rsidRPr="00E531FB">
        <w:rPr>
          <w:rFonts w:ascii="Arial" w:hAnsi="Arial" w:cs="Arial"/>
        </w:rPr>
        <w:t>Threshold for Declaration</w:t>
      </w:r>
      <w:bookmarkEnd w:id="19"/>
    </w:p>
    <w:p w14:paraId="6B9C95B8" w14:textId="45AC5432" w:rsidR="001768DE" w:rsidRPr="00E531FB" w:rsidRDefault="001768DE" w:rsidP="003200D4">
      <w:pPr>
        <w:rPr>
          <w:rFonts w:ascii="Arial" w:hAnsi="Arial" w:cs="Arial"/>
        </w:rPr>
      </w:pPr>
      <w:r w:rsidRPr="00E531FB">
        <w:rPr>
          <w:rFonts w:ascii="Arial" w:hAnsi="Arial" w:cs="Arial"/>
        </w:rPr>
        <w:t xml:space="preserve">The threshold value for declaration of a substance is based on the lowest applicable regulatory limit where it exists. On or above this threshold, substances must be declared. In some regulations no regulatory limits are given. In these cases, any intentionally added amount of </w:t>
      </w:r>
      <w:proofErr w:type="gramStart"/>
      <w:r w:rsidRPr="00E531FB">
        <w:rPr>
          <w:rFonts w:ascii="Arial" w:hAnsi="Arial" w:cs="Arial"/>
        </w:rPr>
        <w:t>a substances</w:t>
      </w:r>
      <w:proofErr w:type="gramEnd"/>
      <w:r w:rsidRPr="00E531FB">
        <w:rPr>
          <w:rFonts w:ascii="Arial" w:hAnsi="Arial" w:cs="Arial"/>
        </w:rPr>
        <w:t xml:space="preserve"> must be declared, as required by the regulation. </w:t>
      </w:r>
    </w:p>
    <w:p w14:paraId="3AA83F1D" w14:textId="7F26E2F8" w:rsidR="001768DE" w:rsidRPr="00E531FB" w:rsidRDefault="001768DE" w:rsidP="003200D4">
      <w:pPr>
        <w:rPr>
          <w:rFonts w:ascii="Arial" w:hAnsi="Arial" w:cs="Arial"/>
        </w:rPr>
      </w:pPr>
      <w:r w:rsidRPr="00E531FB">
        <w:rPr>
          <w:rFonts w:ascii="Arial" w:hAnsi="Arial" w:cs="Arial"/>
        </w:rPr>
        <w:t xml:space="preserve">If such a regulatory limit does not exist, the default threshold at which substances become declarable will be 0.1% (percent by weight). </w:t>
      </w:r>
    </w:p>
    <w:p w14:paraId="40EC298E" w14:textId="548CC5B1" w:rsidR="001768DE" w:rsidRPr="00E531FB" w:rsidRDefault="001768DE" w:rsidP="003200D4">
      <w:pPr>
        <w:pStyle w:val="Heading2"/>
        <w:rPr>
          <w:rFonts w:ascii="Arial" w:hAnsi="Arial" w:cs="Arial"/>
        </w:rPr>
      </w:pPr>
      <w:bookmarkStart w:id="20" w:name="_Toc206706889"/>
      <w:r w:rsidRPr="00E531FB">
        <w:rPr>
          <w:rFonts w:ascii="Arial" w:hAnsi="Arial" w:cs="Arial"/>
        </w:rPr>
        <w:t>Declarations of Impurities</w:t>
      </w:r>
      <w:bookmarkEnd w:id="20"/>
    </w:p>
    <w:p w14:paraId="3788FBA1" w14:textId="1BE63AFB" w:rsidR="001768DE" w:rsidRPr="00E531FB" w:rsidRDefault="001768DE" w:rsidP="003200D4">
      <w:pPr>
        <w:rPr>
          <w:rFonts w:ascii="Arial" w:hAnsi="Arial" w:cs="Arial"/>
        </w:rPr>
      </w:pPr>
      <w:r w:rsidRPr="00E531FB">
        <w:rPr>
          <w:rFonts w:ascii="Arial" w:hAnsi="Arial" w:cs="Arial"/>
        </w:rPr>
        <w:t xml:space="preserve">Unless specifically exempted, HEDSL listed substances known to be present as impurities (i.e. not intentionally added), and which exceed the HEDSL applicable content threshold, should </w:t>
      </w:r>
      <w:proofErr w:type="gramStart"/>
      <w:r w:rsidRPr="00E531FB">
        <w:rPr>
          <w:rFonts w:ascii="Arial" w:hAnsi="Arial" w:cs="Arial"/>
        </w:rPr>
        <w:t>be considered to be</w:t>
      </w:r>
      <w:proofErr w:type="gramEnd"/>
      <w:r w:rsidRPr="00E531FB">
        <w:rPr>
          <w:rFonts w:ascii="Arial" w:hAnsi="Arial" w:cs="Arial"/>
        </w:rPr>
        <w:t xml:space="preserve"> declarable. In some cases, specific clarifying remarks are provided where well known issues exist with impurities.</w:t>
      </w:r>
    </w:p>
    <w:p w14:paraId="6A7175FD" w14:textId="4C89FFAE" w:rsidR="001768DE" w:rsidRPr="00E531FB" w:rsidRDefault="001768DE" w:rsidP="003200D4">
      <w:pPr>
        <w:pStyle w:val="Heading2"/>
        <w:rPr>
          <w:rFonts w:ascii="Arial" w:hAnsi="Arial" w:cs="Arial"/>
        </w:rPr>
      </w:pPr>
      <w:bookmarkStart w:id="21" w:name="_Toc206706890"/>
      <w:r w:rsidRPr="00E531FB">
        <w:rPr>
          <w:rFonts w:ascii="Arial" w:hAnsi="Arial" w:cs="Arial"/>
        </w:rPr>
        <w:t xml:space="preserve">Calculation of the </w:t>
      </w:r>
      <w:proofErr w:type="gramStart"/>
      <w:r w:rsidRPr="00E531FB">
        <w:rPr>
          <w:rFonts w:ascii="Arial" w:hAnsi="Arial" w:cs="Arial"/>
        </w:rPr>
        <w:t>percent</w:t>
      </w:r>
      <w:proofErr w:type="gramEnd"/>
      <w:r w:rsidRPr="00E531FB">
        <w:rPr>
          <w:rFonts w:ascii="Arial" w:hAnsi="Arial" w:cs="Arial"/>
        </w:rPr>
        <w:t xml:space="preserve"> content of substances in materials</w:t>
      </w:r>
      <w:bookmarkEnd w:id="21"/>
      <w:r w:rsidRPr="00E531FB">
        <w:rPr>
          <w:rFonts w:ascii="Arial" w:hAnsi="Arial" w:cs="Arial"/>
        </w:rPr>
        <w:tab/>
      </w:r>
    </w:p>
    <w:p w14:paraId="65228AA7" w14:textId="444BC04F" w:rsidR="001768DE" w:rsidRPr="00E531FB" w:rsidRDefault="001768DE" w:rsidP="003200D4">
      <w:pPr>
        <w:rPr>
          <w:rFonts w:ascii="Arial" w:hAnsi="Arial" w:cs="Arial"/>
        </w:rPr>
      </w:pPr>
      <w:r w:rsidRPr="00E531FB">
        <w:rPr>
          <w:rFonts w:ascii="Arial" w:hAnsi="Arial" w:cs="Arial"/>
        </w:rPr>
        <w:t>Percent content should be determined from the ratio of the masses of an individual declarable substance within a homogeneous material multiplied by 100, i.e.:</w:t>
      </w:r>
    </w:p>
    <w:p w14:paraId="291D80F3" w14:textId="0D17320D" w:rsidR="001768DE" w:rsidRPr="00E531FB" w:rsidRDefault="001768DE" w:rsidP="003200D4">
      <w:pPr>
        <w:rPr>
          <w:rFonts w:ascii="Arial" w:hAnsi="Arial" w:cs="Arial"/>
        </w:rPr>
      </w:pPr>
      <w:r w:rsidRPr="00E531FB">
        <w:rPr>
          <w:rFonts w:ascii="Arial" w:hAnsi="Arial" w:cs="Arial"/>
        </w:rPr>
        <w:t xml:space="preserve">(Mass of substances/Mass of homogeneous </w:t>
      </w:r>
      <w:proofErr w:type="gramStart"/>
      <w:r w:rsidRPr="00E531FB">
        <w:rPr>
          <w:rFonts w:ascii="Arial" w:hAnsi="Arial" w:cs="Arial"/>
        </w:rPr>
        <w:t>Material)  x</w:t>
      </w:r>
      <w:proofErr w:type="gramEnd"/>
      <w:r w:rsidRPr="00E531FB">
        <w:rPr>
          <w:rFonts w:ascii="Arial" w:hAnsi="Arial" w:cs="Arial"/>
        </w:rPr>
        <w:t xml:space="preserve"> 100 = percent weight</w:t>
      </w:r>
    </w:p>
    <w:p w14:paraId="2E2FD95C" w14:textId="40E7A952" w:rsidR="001768DE" w:rsidRPr="00E531FB" w:rsidRDefault="001768DE" w:rsidP="003200D4">
      <w:pPr>
        <w:pStyle w:val="Heading2"/>
        <w:rPr>
          <w:rFonts w:ascii="Arial" w:hAnsi="Arial" w:cs="Arial"/>
        </w:rPr>
      </w:pPr>
      <w:bookmarkStart w:id="22" w:name="_Toc206706891"/>
      <w:r w:rsidRPr="00E531FB">
        <w:rPr>
          <w:rFonts w:ascii="Arial" w:hAnsi="Arial" w:cs="Arial"/>
        </w:rPr>
        <w:t>Definition of Homogeneous Material</w:t>
      </w:r>
      <w:bookmarkEnd w:id="22"/>
    </w:p>
    <w:p w14:paraId="665A8CE6" w14:textId="6C0CE7AB" w:rsidR="001768DE" w:rsidRPr="00E531FB" w:rsidRDefault="001768DE" w:rsidP="003200D4">
      <w:pPr>
        <w:rPr>
          <w:rFonts w:ascii="Arial" w:hAnsi="Arial" w:cs="Arial"/>
        </w:rPr>
      </w:pPr>
      <w:proofErr w:type="gramStart"/>
      <w:r w:rsidRPr="00E531FB">
        <w:rPr>
          <w:rFonts w:ascii="Arial" w:hAnsi="Arial" w:cs="Arial"/>
        </w:rPr>
        <w:t>A homogeneous</w:t>
      </w:r>
      <w:proofErr w:type="gramEnd"/>
      <w:r w:rsidRPr="00E531FB">
        <w:rPr>
          <w:rFonts w:ascii="Arial" w:hAnsi="Arial" w:cs="Arial"/>
        </w:rPr>
        <w:t xml:space="preserve"> material is a basic material of construction that cannot be further dissociated by simple mechanical means into separate entities. In most cases it is not a part or assembly, since these are usually composed of multiple individual materials such as polymers, metallics, nonmetallic etc.</w:t>
      </w:r>
    </w:p>
    <w:p w14:paraId="4443AD19" w14:textId="6AE1EF3A" w:rsidR="001768DE" w:rsidRPr="00E531FB" w:rsidRDefault="001768DE" w:rsidP="003200D4">
      <w:pPr>
        <w:pStyle w:val="Heading2"/>
        <w:rPr>
          <w:rFonts w:ascii="Arial" w:hAnsi="Arial" w:cs="Arial"/>
        </w:rPr>
      </w:pPr>
      <w:bookmarkStart w:id="23" w:name="_Toc206706892"/>
      <w:r w:rsidRPr="00E531FB">
        <w:rPr>
          <w:rFonts w:ascii="Arial" w:hAnsi="Arial" w:cs="Arial"/>
        </w:rPr>
        <w:lastRenderedPageBreak/>
        <w:t>Dealing with Substances formed in situ in materials (due to reactions in the manufacturing process)</w:t>
      </w:r>
      <w:bookmarkEnd w:id="23"/>
    </w:p>
    <w:p w14:paraId="78A36540" w14:textId="793A67F1" w:rsidR="001768DE" w:rsidRPr="00E531FB" w:rsidRDefault="001768DE" w:rsidP="003200D4">
      <w:pPr>
        <w:rPr>
          <w:rFonts w:ascii="Arial" w:hAnsi="Arial" w:cs="Arial"/>
        </w:rPr>
      </w:pPr>
      <w:r w:rsidRPr="00E531FB">
        <w:rPr>
          <w:rFonts w:ascii="Arial" w:hAnsi="Arial" w:cs="Arial"/>
        </w:rPr>
        <w:t xml:space="preserve">These situations are anticipated to be relatively uncommon. But unless specifically exempted, such substances when listed in GADSL should </w:t>
      </w:r>
      <w:proofErr w:type="gramStart"/>
      <w:r w:rsidRPr="00E531FB">
        <w:rPr>
          <w:rFonts w:ascii="Arial" w:hAnsi="Arial" w:cs="Arial"/>
        </w:rPr>
        <w:t>be considered to be</w:t>
      </w:r>
      <w:proofErr w:type="gramEnd"/>
      <w:r w:rsidRPr="00E531FB">
        <w:rPr>
          <w:rFonts w:ascii="Arial" w:hAnsi="Arial" w:cs="Arial"/>
        </w:rPr>
        <w:t xml:space="preserve"> declarable if they exceed the content threshold.</w:t>
      </w:r>
    </w:p>
    <w:p w14:paraId="4C6D6D03" w14:textId="264B83A9" w:rsidR="001768DE" w:rsidRPr="00E531FB" w:rsidRDefault="001768DE" w:rsidP="003200D4">
      <w:pPr>
        <w:pStyle w:val="Heading2"/>
        <w:rPr>
          <w:rFonts w:ascii="Arial" w:hAnsi="Arial" w:cs="Arial"/>
        </w:rPr>
      </w:pPr>
      <w:bookmarkStart w:id="24" w:name="_Toc206706893"/>
      <w:r w:rsidRPr="00E531FB">
        <w:rPr>
          <w:rFonts w:ascii="Arial" w:hAnsi="Arial" w:cs="Arial"/>
        </w:rPr>
        <w:t>Packaging Materials</w:t>
      </w:r>
      <w:bookmarkEnd w:id="24"/>
    </w:p>
    <w:p w14:paraId="3A06C296" w14:textId="24B40979" w:rsidR="001768DE" w:rsidRPr="00E531FB" w:rsidRDefault="001768DE" w:rsidP="001768DE">
      <w:pPr>
        <w:rPr>
          <w:rFonts w:ascii="Arial" w:hAnsi="Arial" w:cs="Arial"/>
        </w:rPr>
      </w:pPr>
      <w:r w:rsidRPr="00E531FB">
        <w:rPr>
          <w:rFonts w:ascii="Arial" w:hAnsi="Arial" w:cs="Arial"/>
        </w:rPr>
        <w:t>Normally considered out of scope for the HEDSL</w:t>
      </w:r>
    </w:p>
    <w:p w14:paraId="6160DFBD" w14:textId="7D996EC5" w:rsidR="001768DE" w:rsidRPr="007C2DE4" w:rsidRDefault="00353826" w:rsidP="00353826">
      <w:pPr>
        <w:pStyle w:val="Heading1"/>
        <w:rPr>
          <w:b/>
          <w:bCs/>
        </w:rPr>
      </w:pPr>
      <w:bookmarkStart w:id="25" w:name="_Toc206706894"/>
      <w:r w:rsidRPr="007C2DE4">
        <w:rPr>
          <w:b/>
          <w:bCs/>
        </w:rPr>
        <w:t>HEDSL Nomenclature</w:t>
      </w:r>
      <w:bookmarkEnd w:id="25"/>
    </w:p>
    <w:p w14:paraId="40A313E5" w14:textId="5CE6E80B" w:rsidR="00353826" w:rsidRPr="007C2DE4" w:rsidRDefault="00353826" w:rsidP="00353826">
      <w:r w:rsidRPr="007C2DE4">
        <w:t>Future updates to the list will be named under a decimal system:</w:t>
      </w:r>
    </w:p>
    <w:p w14:paraId="191E6B92" w14:textId="045ECB67" w:rsidR="00353826" w:rsidRPr="007C2DE4" w:rsidRDefault="00353826" w:rsidP="00353826">
      <w:pPr>
        <w:pStyle w:val="ListParagraph"/>
        <w:numPr>
          <w:ilvl w:val="0"/>
          <w:numId w:val="8"/>
        </w:numPr>
      </w:pPr>
      <w:r w:rsidRPr="007C2DE4">
        <w:t>Emergency updates based on technical changes increase the decimal value</w:t>
      </w:r>
    </w:p>
    <w:p w14:paraId="036EEC75" w14:textId="03169102" w:rsidR="00353826" w:rsidRPr="007C2DE4" w:rsidRDefault="00353826" w:rsidP="00353826">
      <w:pPr>
        <w:pStyle w:val="ListParagraph"/>
        <w:numPr>
          <w:ilvl w:val="1"/>
          <w:numId w:val="8"/>
        </w:numPr>
      </w:pPr>
      <w:r w:rsidRPr="007C2DE4">
        <w:t>Ex: a technical change to a series of chemical names changes the HEDSL list from 3.0 to 3.1</w:t>
      </w:r>
    </w:p>
    <w:p w14:paraId="20EBBD11" w14:textId="2A7903EA" w:rsidR="00353826" w:rsidRPr="007C2DE4" w:rsidRDefault="00353826" w:rsidP="00353826">
      <w:pPr>
        <w:pStyle w:val="ListParagraph"/>
        <w:numPr>
          <w:ilvl w:val="0"/>
          <w:numId w:val="8"/>
        </w:numPr>
      </w:pPr>
      <w:proofErr w:type="gramStart"/>
      <w:r w:rsidRPr="007C2DE4">
        <w:t>Whole</w:t>
      </w:r>
      <w:proofErr w:type="gramEnd"/>
      <w:r w:rsidRPr="007C2DE4">
        <w:t xml:space="preserve"> </w:t>
      </w:r>
      <w:proofErr w:type="gramStart"/>
      <w:r w:rsidRPr="007C2DE4">
        <w:t>number</w:t>
      </w:r>
      <w:proofErr w:type="gramEnd"/>
      <w:r w:rsidRPr="007C2DE4">
        <w:t xml:space="preserve"> updates are based on the annual update.</w:t>
      </w:r>
    </w:p>
    <w:p w14:paraId="038C0A87" w14:textId="1D6F55E9" w:rsidR="00353826" w:rsidRPr="007C2DE4" w:rsidRDefault="00353826" w:rsidP="00353826">
      <w:pPr>
        <w:pStyle w:val="ListParagraph"/>
        <w:numPr>
          <w:ilvl w:val="1"/>
          <w:numId w:val="8"/>
        </w:numPr>
      </w:pPr>
      <w:r w:rsidRPr="007C2DE4">
        <w:t>Ex: the HEDSL list changes from 3.0 to 4.0 following the annual review.</w:t>
      </w:r>
    </w:p>
    <w:sectPr w:rsidR="00353826" w:rsidRPr="007C2DE4" w:rsidSect="00404FA6">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C494" w14:textId="77777777" w:rsidR="001F02FC" w:rsidRDefault="001F02FC" w:rsidP="0053174C">
      <w:pPr>
        <w:spacing w:after="0" w:line="240" w:lineRule="auto"/>
      </w:pPr>
      <w:r>
        <w:separator/>
      </w:r>
    </w:p>
  </w:endnote>
  <w:endnote w:type="continuationSeparator" w:id="0">
    <w:p w14:paraId="327172A6" w14:textId="77777777" w:rsidR="001F02FC" w:rsidRDefault="001F02FC" w:rsidP="0053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5286" w14:textId="4CE2D59F" w:rsidR="00404FA6" w:rsidRPr="00404FA6" w:rsidRDefault="00404FA6" w:rsidP="00404FA6">
    <w:pPr>
      <w:pStyle w:val="Footer"/>
      <w:jc w:val="center"/>
      <w:rPr>
        <w:rFonts w:ascii="Arial" w:hAnsi="Arial" w:cs="Arial"/>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1148"/>
      <w:docPartObj>
        <w:docPartGallery w:val="Page Numbers (Bottom of Page)"/>
        <w:docPartUnique/>
      </w:docPartObj>
    </w:sdtPr>
    <w:sdtEndPr>
      <w:rPr>
        <w:noProof/>
      </w:rPr>
    </w:sdtEndPr>
    <w:sdtContent>
      <w:p w14:paraId="44268934" w14:textId="19E56DAC" w:rsidR="00BB0C08" w:rsidRDefault="00BB0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A83FF" w14:textId="46D007CA" w:rsidR="00BB0C08" w:rsidRPr="003200D4" w:rsidRDefault="00BB0C08" w:rsidP="003200D4">
    <w:pPr>
      <w:pStyle w:val="Footer"/>
      <w:jc w:val="center"/>
      <w:rPr>
        <w:bCs/>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D5CC" w14:textId="77777777" w:rsidR="001F02FC" w:rsidRDefault="001F02FC" w:rsidP="0053174C">
      <w:pPr>
        <w:spacing w:after="0" w:line="240" w:lineRule="auto"/>
      </w:pPr>
      <w:r>
        <w:separator/>
      </w:r>
    </w:p>
  </w:footnote>
  <w:footnote w:type="continuationSeparator" w:id="0">
    <w:p w14:paraId="40CECB25" w14:textId="77777777" w:rsidR="001F02FC" w:rsidRDefault="001F02FC" w:rsidP="0053174C">
      <w:pPr>
        <w:spacing w:after="0" w:line="240" w:lineRule="auto"/>
      </w:pPr>
      <w:r>
        <w:continuationSeparator/>
      </w:r>
    </w:p>
  </w:footnote>
  <w:footnote w:id="1">
    <w:p w14:paraId="4C0C9CEF" w14:textId="6856A68F" w:rsidR="00F52267" w:rsidRDefault="00F52267">
      <w:pPr>
        <w:pStyle w:val="FootnoteText"/>
      </w:pPr>
      <w:r>
        <w:rPr>
          <w:rStyle w:val="FootnoteReference"/>
        </w:rPr>
        <w:footnoteRef/>
      </w:r>
      <w:r>
        <w:t xml:space="preserve"> Definition of article within REACH.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B40E" w14:textId="16308C4B" w:rsidR="0053174C" w:rsidRPr="0053174C" w:rsidRDefault="0053174C">
    <w:pPr>
      <w:pStyle w:val="Header"/>
      <w:rPr>
        <w:b/>
        <w:bCs/>
        <w:color w:val="FF0000"/>
        <w:sz w:val="52"/>
        <w:szCs w:val="52"/>
      </w:rPr>
    </w:pPr>
    <w:r w:rsidRPr="0053174C">
      <w:rPr>
        <w:b/>
        <w:bCs/>
        <w:noProof/>
      </w:rPr>
      <w:drawing>
        <wp:anchor distT="0" distB="0" distL="114300" distR="114300" simplePos="0" relativeHeight="251659264" behindDoc="1" locked="0" layoutInCell="1" allowOverlap="1" wp14:anchorId="3A0EC227" wp14:editId="35591F89">
          <wp:simplePos x="0" y="0"/>
          <wp:positionH relativeFrom="rightMargin">
            <wp:posOffset>-1794510</wp:posOffset>
          </wp:positionH>
          <wp:positionV relativeFrom="margin">
            <wp:posOffset>-600075</wp:posOffset>
          </wp:positionV>
          <wp:extent cx="2357120" cy="533400"/>
          <wp:effectExtent l="0" t="0" r="5080" b="0"/>
          <wp:wrapTight wrapText="bothSides">
            <wp:wrapPolygon edited="0">
              <wp:start x="0" y="0"/>
              <wp:lineTo x="0" y="20829"/>
              <wp:lineTo x="21472" y="20829"/>
              <wp:lineTo x="21472"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12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74C">
      <w:rPr>
        <w:b/>
        <w:bCs/>
        <w:color w:val="FF0000"/>
        <w:sz w:val="52"/>
        <w:szCs w:val="52"/>
      </w:rPr>
      <w:t xml:space="preserve">AEM </w:t>
    </w:r>
    <w:r w:rsidR="001768DE">
      <w:rPr>
        <w:b/>
        <w:bCs/>
        <w:color w:val="FF0000"/>
        <w:sz w:val="52"/>
        <w:szCs w:val="52"/>
      </w:rPr>
      <w:t>HE</w:t>
    </w:r>
    <w:r w:rsidRPr="0053174C">
      <w:rPr>
        <w:b/>
        <w:bCs/>
        <w:color w:val="FF0000"/>
        <w:sz w:val="52"/>
        <w:szCs w:val="52"/>
      </w:rPr>
      <w:t xml:space="preserve">DSL: </w:t>
    </w:r>
    <w:r w:rsidR="00B77E42">
      <w:rPr>
        <w:b/>
        <w:bCs/>
        <w:color w:val="FF0000"/>
        <w:sz w:val="52"/>
        <w:szCs w:val="52"/>
      </w:rPr>
      <w:t>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41B"/>
    <w:multiLevelType w:val="hybridMultilevel"/>
    <w:tmpl w:val="26EA6AB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12E4BF7"/>
    <w:multiLevelType w:val="hybridMultilevel"/>
    <w:tmpl w:val="0DE215F6"/>
    <w:lvl w:ilvl="0" w:tplc="079A0F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D67D5"/>
    <w:multiLevelType w:val="hybridMultilevel"/>
    <w:tmpl w:val="8DBA93A8"/>
    <w:lvl w:ilvl="0" w:tplc="EB4C4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D7BBC"/>
    <w:multiLevelType w:val="hybridMultilevel"/>
    <w:tmpl w:val="4AA888A6"/>
    <w:lvl w:ilvl="0" w:tplc="79EA8D46">
      <w:numFmt w:val="bullet"/>
      <w:lvlText w:val=""/>
      <w:lvlJc w:val="left"/>
      <w:pPr>
        <w:ind w:left="1080" w:hanging="360"/>
      </w:pPr>
      <w:rPr>
        <w:rFonts w:ascii="Wingdings" w:eastAsiaTheme="minorHAnsi" w:hAnsi="Wingdings"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A09B8"/>
    <w:multiLevelType w:val="hybridMultilevel"/>
    <w:tmpl w:val="4EFED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D7723"/>
    <w:multiLevelType w:val="hybridMultilevel"/>
    <w:tmpl w:val="900213D0"/>
    <w:lvl w:ilvl="0" w:tplc="D7DA65DA">
      <w:start w:val="1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49022"/>
    <w:multiLevelType w:val="hybridMultilevel"/>
    <w:tmpl w:val="8C229826"/>
    <w:lvl w:ilvl="0" w:tplc="0409000F">
      <w:start w:val="1"/>
      <w:numFmt w:val="decimal"/>
      <w:lvlText w:val="%1."/>
      <w:lvlJc w:val="left"/>
      <w:pPr>
        <w:ind w:left="720" w:hanging="360"/>
      </w:pPr>
    </w:lvl>
    <w:lvl w:ilvl="1" w:tplc="307097BA">
      <w:start w:val="1"/>
      <w:numFmt w:val="lowerLetter"/>
      <w:lvlText w:val="%2."/>
      <w:lvlJc w:val="left"/>
      <w:pPr>
        <w:ind w:left="1440" w:hanging="360"/>
      </w:pPr>
    </w:lvl>
    <w:lvl w:ilvl="2" w:tplc="5836847C">
      <w:start w:val="1"/>
      <w:numFmt w:val="lowerRoman"/>
      <w:lvlText w:val="%3."/>
      <w:lvlJc w:val="right"/>
      <w:pPr>
        <w:ind w:left="2160" w:hanging="180"/>
      </w:pPr>
    </w:lvl>
    <w:lvl w:ilvl="3" w:tplc="08CAA19C">
      <w:start w:val="1"/>
      <w:numFmt w:val="decimal"/>
      <w:lvlText w:val="%4."/>
      <w:lvlJc w:val="left"/>
      <w:pPr>
        <w:ind w:left="2880" w:hanging="360"/>
      </w:pPr>
    </w:lvl>
    <w:lvl w:ilvl="4" w:tplc="68CE1D04">
      <w:start w:val="1"/>
      <w:numFmt w:val="lowerLetter"/>
      <w:lvlText w:val="%5."/>
      <w:lvlJc w:val="left"/>
      <w:pPr>
        <w:ind w:left="3600" w:hanging="360"/>
      </w:pPr>
    </w:lvl>
    <w:lvl w:ilvl="5" w:tplc="7098D07C">
      <w:start w:val="1"/>
      <w:numFmt w:val="lowerRoman"/>
      <w:lvlText w:val="%6."/>
      <w:lvlJc w:val="right"/>
      <w:pPr>
        <w:ind w:left="4320" w:hanging="180"/>
      </w:pPr>
    </w:lvl>
    <w:lvl w:ilvl="6" w:tplc="D2C2DCC6">
      <w:start w:val="1"/>
      <w:numFmt w:val="decimal"/>
      <w:lvlText w:val="%7."/>
      <w:lvlJc w:val="left"/>
      <w:pPr>
        <w:ind w:left="5040" w:hanging="360"/>
      </w:pPr>
    </w:lvl>
    <w:lvl w:ilvl="7" w:tplc="3418028E">
      <w:start w:val="1"/>
      <w:numFmt w:val="lowerLetter"/>
      <w:lvlText w:val="%8."/>
      <w:lvlJc w:val="left"/>
      <w:pPr>
        <w:ind w:left="5760" w:hanging="360"/>
      </w:pPr>
    </w:lvl>
    <w:lvl w:ilvl="8" w:tplc="6142B0CA">
      <w:start w:val="1"/>
      <w:numFmt w:val="lowerRoman"/>
      <w:lvlText w:val="%9."/>
      <w:lvlJc w:val="right"/>
      <w:pPr>
        <w:ind w:left="6480" w:hanging="180"/>
      </w:pPr>
    </w:lvl>
  </w:abstractNum>
  <w:abstractNum w:abstractNumId="7" w15:restartNumberingAfterBreak="0">
    <w:nsid w:val="5F633592"/>
    <w:multiLevelType w:val="hybridMultilevel"/>
    <w:tmpl w:val="9FB8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214FC"/>
    <w:multiLevelType w:val="hybridMultilevel"/>
    <w:tmpl w:val="E0220022"/>
    <w:lvl w:ilvl="0" w:tplc="D7DA65DA">
      <w:start w:val="1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3645970">
    <w:abstractNumId w:val="1"/>
  </w:num>
  <w:num w:numId="2" w16cid:durableId="1123689246">
    <w:abstractNumId w:val="8"/>
  </w:num>
  <w:num w:numId="3" w16cid:durableId="445392377">
    <w:abstractNumId w:val="2"/>
  </w:num>
  <w:num w:numId="4" w16cid:durableId="1838182215">
    <w:abstractNumId w:val="3"/>
  </w:num>
  <w:num w:numId="5" w16cid:durableId="2023048551">
    <w:abstractNumId w:val="5"/>
  </w:num>
  <w:num w:numId="6" w16cid:durableId="1940017530">
    <w:abstractNumId w:val="0"/>
  </w:num>
  <w:num w:numId="7" w16cid:durableId="949321025">
    <w:abstractNumId w:val="6"/>
  </w:num>
  <w:num w:numId="8" w16cid:durableId="1559853335">
    <w:abstractNumId w:val="4"/>
  </w:num>
  <w:num w:numId="9" w16cid:durableId="1219972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52"/>
    <w:rsid w:val="0000713A"/>
    <w:rsid w:val="000226C2"/>
    <w:rsid w:val="00026052"/>
    <w:rsid w:val="00037D92"/>
    <w:rsid w:val="00043CC7"/>
    <w:rsid w:val="0005432A"/>
    <w:rsid w:val="000552DD"/>
    <w:rsid w:val="0007185C"/>
    <w:rsid w:val="000C7E46"/>
    <w:rsid w:val="000F3126"/>
    <w:rsid w:val="000F3835"/>
    <w:rsid w:val="000F4E92"/>
    <w:rsid w:val="001265B3"/>
    <w:rsid w:val="00135B5B"/>
    <w:rsid w:val="00162EBF"/>
    <w:rsid w:val="001768DE"/>
    <w:rsid w:val="00176A48"/>
    <w:rsid w:val="00186E66"/>
    <w:rsid w:val="001B3591"/>
    <w:rsid w:val="001B60C6"/>
    <w:rsid w:val="001F02FC"/>
    <w:rsid w:val="001F2101"/>
    <w:rsid w:val="00234CE9"/>
    <w:rsid w:val="00244D57"/>
    <w:rsid w:val="00251A50"/>
    <w:rsid w:val="00295288"/>
    <w:rsid w:val="002A003D"/>
    <w:rsid w:val="002E50CE"/>
    <w:rsid w:val="002E79AE"/>
    <w:rsid w:val="002F2629"/>
    <w:rsid w:val="00301261"/>
    <w:rsid w:val="003047D4"/>
    <w:rsid w:val="00304EE8"/>
    <w:rsid w:val="003200D4"/>
    <w:rsid w:val="00334DFF"/>
    <w:rsid w:val="0034704C"/>
    <w:rsid w:val="00353826"/>
    <w:rsid w:val="003560B5"/>
    <w:rsid w:val="003773A6"/>
    <w:rsid w:val="00386AB9"/>
    <w:rsid w:val="003A3AD5"/>
    <w:rsid w:val="003A3FE2"/>
    <w:rsid w:val="003A6B07"/>
    <w:rsid w:val="003E55A1"/>
    <w:rsid w:val="00404FA6"/>
    <w:rsid w:val="00405BD1"/>
    <w:rsid w:val="004072FD"/>
    <w:rsid w:val="00416998"/>
    <w:rsid w:val="00431E4F"/>
    <w:rsid w:val="00435584"/>
    <w:rsid w:val="004365CE"/>
    <w:rsid w:val="00454738"/>
    <w:rsid w:val="0046338D"/>
    <w:rsid w:val="0047089E"/>
    <w:rsid w:val="004715BA"/>
    <w:rsid w:val="004B75D2"/>
    <w:rsid w:val="004C6FC4"/>
    <w:rsid w:val="004F0865"/>
    <w:rsid w:val="005047C8"/>
    <w:rsid w:val="00514017"/>
    <w:rsid w:val="00524400"/>
    <w:rsid w:val="0053174C"/>
    <w:rsid w:val="00532F81"/>
    <w:rsid w:val="00550BD9"/>
    <w:rsid w:val="005E36C4"/>
    <w:rsid w:val="005F6498"/>
    <w:rsid w:val="00615322"/>
    <w:rsid w:val="0062185F"/>
    <w:rsid w:val="006242D2"/>
    <w:rsid w:val="00625091"/>
    <w:rsid w:val="006307F0"/>
    <w:rsid w:val="00637581"/>
    <w:rsid w:val="00673449"/>
    <w:rsid w:val="006A3239"/>
    <w:rsid w:val="006C5982"/>
    <w:rsid w:val="006C60CD"/>
    <w:rsid w:val="006D03BE"/>
    <w:rsid w:val="006D4A7C"/>
    <w:rsid w:val="0070259A"/>
    <w:rsid w:val="0072520B"/>
    <w:rsid w:val="00744A97"/>
    <w:rsid w:val="00745010"/>
    <w:rsid w:val="007623F6"/>
    <w:rsid w:val="00773CF8"/>
    <w:rsid w:val="007B2006"/>
    <w:rsid w:val="007C0927"/>
    <w:rsid w:val="007C2DE4"/>
    <w:rsid w:val="007D3966"/>
    <w:rsid w:val="007F417F"/>
    <w:rsid w:val="00802755"/>
    <w:rsid w:val="00805B24"/>
    <w:rsid w:val="00851029"/>
    <w:rsid w:val="00870D2B"/>
    <w:rsid w:val="0088433E"/>
    <w:rsid w:val="008A7527"/>
    <w:rsid w:val="008D2B49"/>
    <w:rsid w:val="008E1E52"/>
    <w:rsid w:val="008F16DA"/>
    <w:rsid w:val="009036B6"/>
    <w:rsid w:val="00923DB3"/>
    <w:rsid w:val="00935EE2"/>
    <w:rsid w:val="009447E3"/>
    <w:rsid w:val="0095170F"/>
    <w:rsid w:val="00966497"/>
    <w:rsid w:val="00972968"/>
    <w:rsid w:val="0098111A"/>
    <w:rsid w:val="00982480"/>
    <w:rsid w:val="009A1C91"/>
    <w:rsid w:val="009E10BD"/>
    <w:rsid w:val="009F5C1C"/>
    <w:rsid w:val="00A246D5"/>
    <w:rsid w:val="00A47C4C"/>
    <w:rsid w:val="00A60F15"/>
    <w:rsid w:val="00A70D99"/>
    <w:rsid w:val="00A810E5"/>
    <w:rsid w:val="00AB3DDF"/>
    <w:rsid w:val="00AB3E46"/>
    <w:rsid w:val="00AF211C"/>
    <w:rsid w:val="00B065BC"/>
    <w:rsid w:val="00B10389"/>
    <w:rsid w:val="00B74700"/>
    <w:rsid w:val="00B77E42"/>
    <w:rsid w:val="00BB0C08"/>
    <w:rsid w:val="00BC5205"/>
    <w:rsid w:val="00BD0BAF"/>
    <w:rsid w:val="00BE60F3"/>
    <w:rsid w:val="00BE7053"/>
    <w:rsid w:val="00BF440A"/>
    <w:rsid w:val="00BF4420"/>
    <w:rsid w:val="00C456A7"/>
    <w:rsid w:val="00C704C1"/>
    <w:rsid w:val="00C97AB2"/>
    <w:rsid w:val="00CA19F4"/>
    <w:rsid w:val="00CD6327"/>
    <w:rsid w:val="00D150A4"/>
    <w:rsid w:val="00D16A93"/>
    <w:rsid w:val="00D2455F"/>
    <w:rsid w:val="00D55417"/>
    <w:rsid w:val="00D75A28"/>
    <w:rsid w:val="00D7687A"/>
    <w:rsid w:val="00D841C7"/>
    <w:rsid w:val="00D95344"/>
    <w:rsid w:val="00DB1230"/>
    <w:rsid w:val="00DB43F5"/>
    <w:rsid w:val="00DE1ADA"/>
    <w:rsid w:val="00E1394A"/>
    <w:rsid w:val="00E21C37"/>
    <w:rsid w:val="00E27CA2"/>
    <w:rsid w:val="00E43F4C"/>
    <w:rsid w:val="00E51489"/>
    <w:rsid w:val="00E531FB"/>
    <w:rsid w:val="00E962FE"/>
    <w:rsid w:val="00EB097F"/>
    <w:rsid w:val="00EC17FD"/>
    <w:rsid w:val="00EC2020"/>
    <w:rsid w:val="00EC4BE3"/>
    <w:rsid w:val="00EC5DD1"/>
    <w:rsid w:val="00ED324B"/>
    <w:rsid w:val="00EE345E"/>
    <w:rsid w:val="00EE35A0"/>
    <w:rsid w:val="00EF26C8"/>
    <w:rsid w:val="00F268DE"/>
    <w:rsid w:val="00F30452"/>
    <w:rsid w:val="00F41A5E"/>
    <w:rsid w:val="00F51925"/>
    <w:rsid w:val="00F52267"/>
    <w:rsid w:val="00F95637"/>
    <w:rsid w:val="00FD2AC2"/>
    <w:rsid w:val="00FD7DD4"/>
    <w:rsid w:val="00FE2D23"/>
    <w:rsid w:val="00FE66EF"/>
    <w:rsid w:val="00FF174D"/>
    <w:rsid w:val="00FF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6FAC"/>
  <w15:docId w15:val="{32E84B4C-695E-4EF5-A548-AC0468F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6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B0C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74C"/>
  </w:style>
  <w:style w:type="paragraph" w:styleId="Footer">
    <w:name w:val="footer"/>
    <w:basedOn w:val="Normal"/>
    <w:link w:val="FooterChar"/>
    <w:uiPriority w:val="99"/>
    <w:unhideWhenUsed/>
    <w:rsid w:val="00531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74C"/>
  </w:style>
  <w:style w:type="paragraph" w:customStyle="1" w:styleId="NormalText">
    <w:name w:val="NormalText"/>
    <w:link w:val="NormalTextChar"/>
    <w:qFormat/>
    <w:rsid w:val="00AB3E46"/>
    <w:pPr>
      <w:spacing w:after="0" w:line="240" w:lineRule="auto"/>
    </w:pPr>
    <w:rPr>
      <w:rFonts w:ascii="Arial" w:eastAsia="Calibri" w:hAnsi="Arial" w:cs="Arial"/>
    </w:rPr>
  </w:style>
  <w:style w:type="character" w:customStyle="1" w:styleId="NormalTextChar">
    <w:name w:val="NormalText Char"/>
    <w:link w:val="NormalText"/>
    <w:rsid w:val="00AB3E46"/>
    <w:rPr>
      <w:rFonts w:ascii="Arial" w:eastAsia="Calibri" w:hAnsi="Arial" w:cs="Arial"/>
    </w:rPr>
  </w:style>
  <w:style w:type="paragraph" w:styleId="ListParagraph">
    <w:name w:val="List Paragraph"/>
    <w:link w:val="ListParagraphChar"/>
    <w:uiPriority w:val="34"/>
    <w:qFormat/>
    <w:rsid w:val="00AB3E46"/>
    <w:pPr>
      <w:spacing w:after="0" w:line="240" w:lineRule="auto"/>
      <w:ind w:left="720"/>
      <w:contextualSpacing/>
    </w:pPr>
    <w:rPr>
      <w:rFonts w:ascii="Arial" w:eastAsia="Calibri" w:hAnsi="Arial" w:cs="Arial"/>
    </w:rPr>
  </w:style>
  <w:style w:type="character" w:customStyle="1" w:styleId="ListParagraphChar">
    <w:name w:val="List Paragraph Char"/>
    <w:basedOn w:val="DefaultParagraphFont"/>
    <w:link w:val="ListParagraph"/>
    <w:uiPriority w:val="34"/>
    <w:rsid w:val="00AB3E46"/>
    <w:rPr>
      <w:rFonts w:ascii="Arial" w:eastAsia="Calibri" w:hAnsi="Arial" w:cs="Arial"/>
    </w:rPr>
  </w:style>
  <w:style w:type="table" w:styleId="TableGrid">
    <w:name w:val="Table Grid"/>
    <w:basedOn w:val="TableNormal"/>
    <w:uiPriority w:val="39"/>
    <w:rsid w:val="0017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76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8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68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68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B0C08"/>
    <w:rPr>
      <w:rFonts w:asciiTheme="majorHAnsi" w:eastAsiaTheme="majorEastAsia" w:hAnsiTheme="majorHAnsi" w:cstheme="majorBidi"/>
      <w:color w:val="1F3763" w:themeColor="accent1" w:themeShade="7F"/>
      <w:sz w:val="24"/>
      <w:szCs w:val="24"/>
    </w:rPr>
  </w:style>
  <w:style w:type="paragraph" w:customStyle="1" w:styleId="Title1">
    <w:name w:val="Title1"/>
    <w:basedOn w:val="Normal"/>
    <w:qFormat/>
    <w:rsid w:val="00BB0C08"/>
    <w:pPr>
      <w:tabs>
        <w:tab w:val="left" w:leader="underscore" w:pos="6480"/>
      </w:tabs>
    </w:pPr>
    <w:rPr>
      <w:rFonts w:ascii="Arial" w:eastAsia="Calibri" w:hAnsi="Arial" w:cs="Arial"/>
      <w:b/>
      <w:caps/>
      <w:color w:val="75787B"/>
      <w:sz w:val="40"/>
      <w:szCs w:val="40"/>
    </w:rPr>
  </w:style>
  <w:style w:type="table" w:styleId="GridTable4">
    <w:name w:val="Grid Table 4"/>
    <w:basedOn w:val="TableNormal"/>
    <w:uiPriority w:val="49"/>
    <w:rsid w:val="00BB0C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3200D4"/>
    <w:pPr>
      <w:outlineLvl w:val="9"/>
    </w:pPr>
  </w:style>
  <w:style w:type="paragraph" w:styleId="TOC3">
    <w:name w:val="toc 3"/>
    <w:basedOn w:val="Normal"/>
    <w:next w:val="Normal"/>
    <w:autoRedefine/>
    <w:uiPriority w:val="39"/>
    <w:unhideWhenUsed/>
    <w:rsid w:val="003200D4"/>
    <w:pPr>
      <w:spacing w:after="100"/>
      <w:ind w:left="440"/>
    </w:pPr>
  </w:style>
  <w:style w:type="paragraph" w:styleId="TOC1">
    <w:name w:val="toc 1"/>
    <w:basedOn w:val="Normal"/>
    <w:next w:val="Normal"/>
    <w:autoRedefine/>
    <w:uiPriority w:val="39"/>
    <w:unhideWhenUsed/>
    <w:rsid w:val="003200D4"/>
    <w:pPr>
      <w:spacing w:after="100"/>
    </w:pPr>
  </w:style>
  <w:style w:type="paragraph" w:styleId="TOC2">
    <w:name w:val="toc 2"/>
    <w:basedOn w:val="Normal"/>
    <w:next w:val="Normal"/>
    <w:autoRedefine/>
    <w:uiPriority w:val="39"/>
    <w:unhideWhenUsed/>
    <w:rsid w:val="003200D4"/>
    <w:pPr>
      <w:spacing w:after="100"/>
      <w:ind w:left="220"/>
    </w:pPr>
  </w:style>
  <w:style w:type="character" w:styleId="Hyperlink">
    <w:name w:val="Hyperlink"/>
    <w:basedOn w:val="DefaultParagraphFont"/>
    <w:uiPriority w:val="99"/>
    <w:unhideWhenUsed/>
    <w:rsid w:val="003200D4"/>
    <w:rPr>
      <w:color w:val="0563C1" w:themeColor="hyperlink"/>
      <w:u w:val="single"/>
    </w:rPr>
  </w:style>
  <w:style w:type="character" w:styleId="CommentReference">
    <w:name w:val="annotation reference"/>
    <w:basedOn w:val="DefaultParagraphFont"/>
    <w:uiPriority w:val="99"/>
    <w:unhideWhenUsed/>
    <w:rsid w:val="00935EE2"/>
    <w:rPr>
      <w:sz w:val="16"/>
      <w:szCs w:val="16"/>
    </w:rPr>
  </w:style>
  <w:style w:type="paragraph" w:styleId="CommentText">
    <w:name w:val="annotation text"/>
    <w:basedOn w:val="Normal"/>
    <w:link w:val="CommentTextChar"/>
    <w:uiPriority w:val="99"/>
    <w:unhideWhenUsed/>
    <w:rsid w:val="00935EE2"/>
    <w:pPr>
      <w:spacing w:line="240" w:lineRule="auto"/>
    </w:pPr>
    <w:rPr>
      <w:sz w:val="20"/>
      <w:szCs w:val="20"/>
    </w:rPr>
  </w:style>
  <w:style w:type="character" w:customStyle="1" w:styleId="CommentTextChar">
    <w:name w:val="Comment Text Char"/>
    <w:basedOn w:val="DefaultParagraphFont"/>
    <w:link w:val="CommentText"/>
    <w:uiPriority w:val="99"/>
    <w:rsid w:val="00935EE2"/>
    <w:rPr>
      <w:sz w:val="20"/>
      <w:szCs w:val="20"/>
    </w:rPr>
  </w:style>
  <w:style w:type="paragraph" w:styleId="CommentSubject">
    <w:name w:val="annotation subject"/>
    <w:basedOn w:val="CommentText"/>
    <w:next w:val="CommentText"/>
    <w:link w:val="CommentSubjectChar"/>
    <w:uiPriority w:val="99"/>
    <w:semiHidden/>
    <w:unhideWhenUsed/>
    <w:rsid w:val="00935EE2"/>
    <w:rPr>
      <w:b/>
      <w:bCs/>
    </w:rPr>
  </w:style>
  <w:style w:type="character" w:customStyle="1" w:styleId="CommentSubjectChar">
    <w:name w:val="Comment Subject Char"/>
    <w:basedOn w:val="CommentTextChar"/>
    <w:link w:val="CommentSubject"/>
    <w:uiPriority w:val="99"/>
    <w:semiHidden/>
    <w:rsid w:val="00935EE2"/>
    <w:rPr>
      <w:b/>
      <w:bCs/>
      <w:sz w:val="20"/>
      <w:szCs w:val="20"/>
    </w:rPr>
  </w:style>
  <w:style w:type="paragraph" w:styleId="Revision">
    <w:name w:val="Revision"/>
    <w:hidden/>
    <w:uiPriority w:val="99"/>
    <w:semiHidden/>
    <w:rsid w:val="008A7527"/>
    <w:pPr>
      <w:spacing w:after="0" w:line="240" w:lineRule="auto"/>
    </w:pPr>
  </w:style>
  <w:style w:type="paragraph" w:styleId="FootnoteText">
    <w:name w:val="footnote text"/>
    <w:basedOn w:val="Normal"/>
    <w:link w:val="FootnoteTextChar"/>
    <w:uiPriority w:val="99"/>
    <w:semiHidden/>
    <w:unhideWhenUsed/>
    <w:rsid w:val="00F52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267"/>
    <w:rPr>
      <w:sz w:val="20"/>
      <w:szCs w:val="20"/>
    </w:rPr>
  </w:style>
  <w:style w:type="character" w:styleId="FootnoteReference">
    <w:name w:val="footnote reference"/>
    <w:basedOn w:val="DefaultParagraphFont"/>
    <w:uiPriority w:val="99"/>
    <w:semiHidden/>
    <w:unhideWhenUsed/>
    <w:rsid w:val="00F52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65802E50D3D47858E89623A8F6878" ma:contentTypeVersion="6" ma:contentTypeDescription="Create a new document." ma:contentTypeScope="" ma:versionID="d6b257fffdbffa84a658bbb347b09de2">
  <xsd:schema xmlns:xsd="http://www.w3.org/2001/XMLSchema" xmlns:xs="http://www.w3.org/2001/XMLSchema" xmlns:p="http://schemas.microsoft.com/office/2006/metadata/properties" xmlns:ns2="68c1c377-f8d2-4b84-b652-28f9ad28ae5f" xmlns:ns3="89ed02ee-9e3d-4366-a51d-3456283a74bc" targetNamespace="http://schemas.microsoft.com/office/2006/metadata/properties" ma:root="true" ma:fieldsID="2ecb9cafb98be7f6577b91c41962ec1d" ns2:_="" ns3:_="">
    <xsd:import namespace="68c1c377-f8d2-4b84-b652-28f9ad28ae5f"/>
    <xsd:import namespace="89ed02ee-9e3d-4366-a51d-3456283a74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1c377-f8d2-4b84-b652-28f9ad28a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d02ee-9e3d-4366-a51d-3456283a74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23D0-E243-4EE7-834A-F2760C4F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1c377-f8d2-4b84-b652-28f9ad28ae5f"/>
    <ds:schemaRef ds:uri="89ed02ee-9e3d-4366-a51d-3456283a7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C65CE-382D-4FE6-AD42-FD2B06BCFE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C060E-0E42-420B-A140-44A2D4381EAB}">
  <ds:schemaRefs>
    <ds:schemaRef ds:uri="http://schemas.microsoft.com/sharepoint/v3/contenttype/forms"/>
  </ds:schemaRefs>
</ds:datastoreItem>
</file>

<file path=customXml/itemProps4.xml><?xml version="1.0" encoding="utf-8"?>
<ds:datastoreItem xmlns:ds="http://schemas.openxmlformats.org/officeDocument/2006/customXml" ds:itemID="{7A18F6C9-AC4E-4416-B3A4-DCCF3B6F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Malcore</dc:creator>
  <cp:keywords/>
  <dc:description/>
  <cp:lastModifiedBy>Jason Malcore</cp:lastModifiedBy>
  <cp:revision>5</cp:revision>
  <cp:lastPrinted>2023-09-05T13:01:00Z</cp:lastPrinted>
  <dcterms:created xsi:type="dcterms:W3CDTF">2025-08-22T03:12:00Z</dcterms:created>
  <dcterms:modified xsi:type="dcterms:W3CDTF">2025-08-22T03:27:00Z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0x010100B6365802E50D3D47858E89623A8F6878</vt:lpwstr>
  </property>
  <property fmtid="{D5CDD505-2E9C-101B-9397-08002B2CF9AE}" pid="3" name="MSIP_Label_fb5e2db6-eecf-4aa2-8fc3-174bf94bce19_Enabled">
    <vt:lpwstr>true</vt:lpwstr>
  </property>
  <property fmtid="{D5CDD505-2E9C-101B-9397-08002B2CF9AE}" pid="4" name="MSIP_Label_fb5e2db6-eecf-4aa2-8fc3-174bf94bce19_SetDate">
    <vt:lpwstr>2023-09-05T13:49:42Z</vt:lpwstr>
  </property>
  <property fmtid="{D5CDD505-2E9C-101B-9397-08002B2CF9AE}" pid="5" name="MSIP_Label_fb5e2db6-eecf-4aa2-8fc3-174bf94bce19_Method">
    <vt:lpwstr>Standard</vt:lpwstr>
  </property>
  <property fmtid="{D5CDD505-2E9C-101B-9397-08002B2CF9AE}" pid="6" name="MSIP_Label_fb5e2db6-eecf-4aa2-8fc3-174bf94bce19_Name">
    <vt:lpwstr>fb5e2db6-eecf-4aa2-8fc3-174bf94bce19</vt:lpwstr>
  </property>
  <property fmtid="{D5CDD505-2E9C-101B-9397-08002B2CF9AE}" pid="7" name="MSIP_Label_fb5e2db6-eecf-4aa2-8fc3-174bf94bce19_SiteId">
    <vt:lpwstr>ceb177bf-013b-49ab-8a9c-4abce32afc1e</vt:lpwstr>
  </property>
  <property fmtid="{D5CDD505-2E9C-101B-9397-08002B2CF9AE}" pid="8" name="MSIP_Label_fb5e2db6-eecf-4aa2-8fc3-174bf94bce19_ActionId">
    <vt:lpwstr>cbbdd467-0e66-4890-980c-aa3914fde6d0</vt:lpwstr>
  </property>
  <property fmtid="{D5CDD505-2E9C-101B-9397-08002B2CF9AE}" pid="9" name="MSIP_Label_fb5e2db6-eecf-4aa2-8fc3-174bf94bce19_ContentBits">
    <vt:lpwstr>2</vt:lpwstr>
  </property>
</Properties>
</file>